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5C7DA5" w14:textId="77777777" w:rsidR="00123575" w:rsidRDefault="00123575" w:rsidP="00123575">
      <w:pPr>
        <w:pStyle w:val="Jurisprudncias"/>
        <w:spacing w:line="276" w:lineRule="auto"/>
        <w:rPr>
          <w:szCs w:val="24"/>
        </w:rPr>
      </w:pPr>
    </w:p>
    <w:p w14:paraId="654D0E9D" w14:textId="205E9FA2" w:rsidR="00123575" w:rsidRPr="00DF44EE" w:rsidRDefault="00123575" w:rsidP="00123575">
      <w:pPr>
        <w:pStyle w:val="Jurisprudncias"/>
        <w:spacing w:line="276" w:lineRule="auto"/>
        <w:jc w:val="left"/>
        <w:rPr>
          <w:szCs w:val="24"/>
        </w:rPr>
      </w:pPr>
      <w:r w:rsidRPr="00DF44EE">
        <w:rPr>
          <w:szCs w:val="24"/>
        </w:rPr>
        <w:t>Resolução n. 0</w:t>
      </w:r>
      <w:r w:rsidR="003E4948" w:rsidRPr="00DF44EE">
        <w:rPr>
          <w:szCs w:val="24"/>
        </w:rPr>
        <w:t>3</w:t>
      </w:r>
      <w:r w:rsidR="00DF44EE" w:rsidRPr="00DF44EE">
        <w:rPr>
          <w:szCs w:val="24"/>
        </w:rPr>
        <w:t xml:space="preserve">, de 20 de fevereiro de </w:t>
      </w:r>
      <w:r w:rsidRPr="00DF44EE">
        <w:rPr>
          <w:szCs w:val="24"/>
        </w:rPr>
        <w:t>202</w:t>
      </w:r>
      <w:r w:rsidR="003E4948" w:rsidRPr="00DF44EE">
        <w:rPr>
          <w:szCs w:val="24"/>
        </w:rPr>
        <w:t>6</w:t>
      </w:r>
    </w:p>
    <w:p w14:paraId="5836778C" w14:textId="77777777" w:rsidR="00123575" w:rsidRDefault="00123575" w:rsidP="00123575">
      <w:pPr>
        <w:pStyle w:val="Jurisprudncias"/>
        <w:spacing w:line="276" w:lineRule="auto"/>
        <w:jc w:val="left"/>
        <w:rPr>
          <w:b/>
          <w:bCs/>
          <w:szCs w:val="24"/>
        </w:rPr>
      </w:pPr>
    </w:p>
    <w:p w14:paraId="3C951FE2" w14:textId="77777777" w:rsidR="00123575" w:rsidRDefault="00123575" w:rsidP="00123575">
      <w:pPr>
        <w:pStyle w:val="Jurisprudncias"/>
        <w:spacing w:line="276" w:lineRule="auto"/>
        <w:jc w:val="right"/>
        <w:rPr>
          <w:b/>
          <w:bCs/>
          <w:szCs w:val="24"/>
        </w:rPr>
      </w:pPr>
    </w:p>
    <w:p w14:paraId="3FF4FBC4" w14:textId="77777777" w:rsidR="00123575" w:rsidRDefault="00123575" w:rsidP="00123575">
      <w:pPr>
        <w:pStyle w:val="Citao"/>
        <w:spacing w:line="276" w:lineRule="auto"/>
        <w:ind w:left="3119"/>
        <w:rPr>
          <w:color w:val="auto"/>
          <w:sz w:val="24"/>
          <w:szCs w:val="24"/>
        </w:rPr>
      </w:pPr>
      <w:r>
        <w:rPr>
          <w:color w:val="auto"/>
          <w:sz w:val="24"/>
          <w:szCs w:val="24"/>
        </w:rPr>
        <w:t>INSTITUI A COMISSÃO ESPECIAL PARA O PROCESSO DE ELEIÇÃO SUPLEMENTAR DIRETA DOS MEMBROS DO CONSELHO TUTELAR DO MUNICÍPIO DE LINDÓIA DO SUL.</w:t>
      </w:r>
    </w:p>
    <w:p w14:paraId="346B5FCD" w14:textId="77777777" w:rsidR="00123575" w:rsidRDefault="00123575" w:rsidP="00123575">
      <w:pPr>
        <w:pStyle w:val="Jurisprudncias"/>
        <w:spacing w:line="276" w:lineRule="auto"/>
        <w:rPr>
          <w:szCs w:val="24"/>
        </w:rPr>
      </w:pPr>
    </w:p>
    <w:p w14:paraId="16470DE6" w14:textId="77777777" w:rsidR="00123575" w:rsidRDefault="00123575" w:rsidP="00123575">
      <w:pPr>
        <w:pStyle w:val="Jurisprudncias"/>
        <w:spacing w:line="276" w:lineRule="auto"/>
        <w:rPr>
          <w:szCs w:val="24"/>
        </w:rPr>
      </w:pPr>
    </w:p>
    <w:p w14:paraId="3EECDC8A" w14:textId="77777777" w:rsidR="00123575" w:rsidRDefault="00123575" w:rsidP="00123575">
      <w:pPr>
        <w:pStyle w:val="Jurisprudncias"/>
        <w:spacing w:line="276" w:lineRule="auto"/>
        <w:rPr>
          <w:szCs w:val="24"/>
        </w:rPr>
      </w:pPr>
      <w:r>
        <w:rPr>
          <w:szCs w:val="24"/>
        </w:rPr>
        <w:t>O Conselho Municipal dos Direitos da Criança e do Adolescente de Lindóia do Sul, no uso de suas atribuições legais, considerando o disposto no art. 132 e 139 do Estatuto da Criança e do Adolescente (Lei Federal n. 8.069/1990), na Resolução n. 231/2022 do Conselho Nacional dos Direitos da Criança e do Adolescente (Conanda) e na Lei Municipal n. 358/2023, RESOLVE:</w:t>
      </w:r>
    </w:p>
    <w:p w14:paraId="1FD56583" w14:textId="77777777" w:rsidR="00123575" w:rsidRDefault="00123575" w:rsidP="00123575">
      <w:pPr>
        <w:pStyle w:val="Jurisprudncias"/>
        <w:spacing w:line="276" w:lineRule="auto"/>
        <w:rPr>
          <w:szCs w:val="24"/>
        </w:rPr>
      </w:pPr>
    </w:p>
    <w:p w14:paraId="58A42216" w14:textId="77777777" w:rsidR="00123575" w:rsidRDefault="00123575" w:rsidP="00123575">
      <w:pPr>
        <w:pStyle w:val="Jurisprudncias"/>
        <w:spacing w:line="276" w:lineRule="auto"/>
        <w:rPr>
          <w:szCs w:val="24"/>
        </w:rPr>
      </w:pPr>
      <w:r>
        <w:rPr>
          <w:b/>
          <w:bCs/>
          <w:szCs w:val="24"/>
        </w:rPr>
        <w:t>Art. 1</w:t>
      </w:r>
      <w:r>
        <w:rPr>
          <w:b/>
          <w:bCs/>
          <w:szCs w:val="24"/>
          <w:u w:val="single"/>
          <w:vertAlign w:val="superscript"/>
        </w:rPr>
        <w:t>o</w:t>
      </w:r>
      <w:r>
        <w:rPr>
          <w:szCs w:val="24"/>
        </w:rPr>
        <w:t xml:space="preserve"> Instituir a Comissão Especial com o objetivo de conduzir o processo de escolha suplementar dos membros do Conselho Tutelar do Município de Lindóia do Sul, sendo composta por 4 (quatro) conselheiros do Conselho Municipal dos Direitos da Criança e do Adolescente, garantindo a paridade entre governo e sociedade civil.</w:t>
      </w:r>
    </w:p>
    <w:p w14:paraId="2BBC9B7B" w14:textId="77777777" w:rsidR="00123575" w:rsidRDefault="00123575" w:rsidP="00123575">
      <w:pPr>
        <w:pStyle w:val="Jurisprudncias"/>
        <w:spacing w:line="276" w:lineRule="auto"/>
        <w:rPr>
          <w:szCs w:val="24"/>
        </w:rPr>
      </w:pPr>
      <w:r>
        <w:rPr>
          <w:b/>
          <w:bCs/>
          <w:szCs w:val="24"/>
        </w:rPr>
        <w:t>§ 1</w:t>
      </w:r>
      <w:r>
        <w:rPr>
          <w:b/>
          <w:bCs/>
          <w:szCs w:val="24"/>
          <w:u w:val="single"/>
          <w:vertAlign w:val="superscript"/>
        </w:rPr>
        <w:t>o</w:t>
      </w:r>
      <w:r>
        <w:rPr>
          <w:szCs w:val="24"/>
        </w:rPr>
        <w:t xml:space="preserve"> Não poderão fazer parte da Comissão Especial os conselheiros que concorrerão ao processo de escolha para membro do Conselho Tutelar ou os cônjuges, companheiros, parentes em linha reta, colateral ou por afinidade, até o terceiro grau, inclusive, de candidatos inscritos.</w:t>
      </w:r>
    </w:p>
    <w:p w14:paraId="7DA59053" w14:textId="77777777" w:rsidR="00123575" w:rsidRDefault="00123575" w:rsidP="00123575">
      <w:pPr>
        <w:pStyle w:val="Jurisprudncias"/>
        <w:spacing w:line="276" w:lineRule="auto"/>
        <w:rPr>
          <w:szCs w:val="24"/>
        </w:rPr>
      </w:pPr>
      <w:r>
        <w:rPr>
          <w:b/>
          <w:bCs/>
          <w:szCs w:val="24"/>
        </w:rPr>
        <w:t>§ 2</w:t>
      </w:r>
      <w:r>
        <w:rPr>
          <w:b/>
          <w:bCs/>
          <w:szCs w:val="24"/>
          <w:u w:val="single"/>
          <w:vertAlign w:val="superscript"/>
        </w:rPr>
        <w:t>o</w:t>
      </w:r>
      <w:r>
        <w:rPr>
          <w:szCs w:val="24"/>
        </w:rPr>
        <w:t xml:space="preserve"> Caso algum membro do Conselho Municipal dos Direitos da Criança e do Adolescente venha a se tornar impedido por conta do disposto no § 1</w:t>
      </w:r>
      <w:r>
        <w:rPr>
          <w:szCs w:val="24"/>
          <w:u w:val="single"/>
          <w:vertAlign w:val="superscript"/>
        </w:rPr>
        <w:t>o</w:t>
      </w:r>
      <w:r>
        <w:rPr>
          <w:szCs w:val="24"/>
        </w:rPr>
        <w:t xml:space="preserve"> deste artigo, será afastado da Comissão, sendo substituído por outro conselheiro.</w:t>
      </w:r>
    </w:p>
    <w:p w14:paraId="539ECDC4" w14:textId="77777777" w:rsidR="00123575" w:rsidRDefault="00123575" w:rsidP="00123575">
      <w:pPr>
        <w:pStyle w:val="Jurisprudncias"/>
        <w:spacing w:line="276" w:lineRule="auto"/>
        <w:rPr>
          <w:szCs w:val="24"/>
        </w:rPr>
      </w:pPr>
    </w:p>
    <w:p w14:paraId="0E48BDBC" w14:textId="77777777" w:rsidR="00123575" w:rsidRDefault="00123575" w:rsidP="00123575">
      <w:pPr>
        <w:pStyle w:val="Jurisprudncias"/>
        <w:spacing w:line="276" w:lineRule="auto"/>
        <w:rPr>
          <w:szCs w:val="24"/>
        </w:rPr>
      </w:pPr>
      <w:r>
        <w:rPr>
          <w:b/>
          <w:bCs/>
          <w:szCs w:val="24"/>
        </w:rPr>
        <w:t>Art. 2</w:t>
      </w:r>
      <w:r>
        <w:rPr>
          <w:b/>
          <w:bCs/>
          <w:szCs w:val="24"/>
          <w:u w:val="single"/>
          <w:vertAlign w:val="superscript"/>
        </w:rPr>
        <w:t>o</w:t>
      </w:r>
      <w:r>
        <w:rPr>
          <w:szCs w:val="24"/>
        </w:rPr>
        <w:t xml:space="preserve"> Integram a Comissão Especial os seguintes conselheiros: </w:t>
      </w:r>
    </w:p>
    <w:p w14:paraId="17A38D7F" w14:textId="77777777" w:rsidR="00123575" w:rsidRDefault="00123575" w:rsidP="00123575">
      <w:pPr>
        <w:pStyle w:val="Jurisprudncias"/>
        <w:spacing w:line="276" w:lineRule="auto"/>
        <w:rPr>
          <w:strike/>
          <w:szCs w:val="24"/>
          <w:highlight w:val="yellow"/>
        </w:rPr>
      </w:pPr>
      <w:r>
        <w:rPr>
          <w:szCs w:val="24"/>
        </w:rPr>
        <w:t>I – Giovana Andreza de Oliveira, representante governamental;</w:t>
      </w:r>
    </w:p>
    <w:p w14:paraId="7877FD73" w14:textId="34D0E9CE" w:rsidR="00123575" w:rsidRDefault="00123575" w:rsidP="00123575">
      <w:pPr>
        <w:pStyle w:val="Jurisprudncias"/>
        <w:spacing w:line="276" w:lineRule="auto"/>
        <w:rPr>
          <w:szCs w:val="24"/>
        </w:rPr>
      </w:pPr>
      <w:r>
        <w:rPr>
          <w:szCs w:val="24"/>
        </w:rPr>
        <w:t xml:space="preserve">II – </w:t>
      </w:r>
      <w:r w:rsidR="003E4948">
        <w:rPr>
          <w:szCs w:val="24"/>
        </w:rPr>
        <w:t>Sandra Regina Zuanazzi</w:t>
      </w:r>
      <w:r>
        <w:rPr>
          <w:szCs w:val="24"/>
        </w:rPr>
        <w:t>, representante governamental;</w:t>
      </w:r>
    </w:p>
    <w:p w14:paraId="2E432D73" w14:textId="77777777" w:rsidR="00123575" w:rsidRDefault="00123575" w:rsidP="00123575">
      <w:pPr>
        <w:pStyle w:val="Jurisprudncias"/>
        <w:spacing w:line="276" w:lineRule="auto"/>
        <w:rPr>
          <w:szCs w:val="24"/>
        </w:rPr>
      </w:pPr>
      <w:r>
        <w:rPr>
          <w:szCs w:val="24"/>
        </w:rPr>
        <w:t xml:space="preserve">III –Giseli Lodi </w:t>
      </w:r>
      <w:proofErr w:type="spellStart"/>
      <w:r>
        <w:rPr>
          <w:szCs w:val="24"/>
        </w:rPr>
        <w:t>Ferrazzo</w:t>
      </w:r>
      <w:proofErr w:type="spellEnd"/>
      <w:r>
        <w:rPr>
          <w:szCs w:val="24"/>
        </w:rPr>
        <w:t>, representante da sociedade civil;</w:t>
      </w:r>
    </w:p>
    <w:p w14:paraId="6233543D" w14:textId="1AC3EE26" w:rsidR="00123575" w:rsidRDefault="00123575" w:rsidP="00123575">
      <w:pPr>
        <w:pStyle w:val="Jurisprudncias"/>
        <w:spacing w:line="276" w:lineRule="auto"/>
        <w:rPr>
          <w:strike/>
          <w:szCs w:val="24"/>
        </w:rPr>
      </w:pPr>
      <w:r>
        <w:rPr>
          <w:szCs w:val="24"/>
        </w:rPr>
        <w:t xml:space="preserve">IV – </w:t>
      </w:r>
      <w:r w:rsidR="003E4948">
        <w:rPr>
          <w:szCs w:val="24"/>
        </w:rPr>
        <w:t xml:space="preserve">Elisangela </w:t>
      </w:r>
      <w:proofErr w:type="spellStart"/>
      <w:r w:rsidR="003E4948">
        <w:rPr>
          <w:szCs w:val="24"/>
        </w:rPr>
        <w:t>Balbinoto</w:t>
      </w:r>
      <w:proofErr w:type="spellEnd"/>
      <w:r w:rsidR="003E4948">
        <w:rPr>
          <w:szCs w:val="24"/>
        </w:rPr>
        <w:t xml:space="preserve"> Vicente</w:t>
      </w:r>
      <w:r>
        <w:rPr>
          <w:szCs w:val="24"/>
        </w:rPr>
        <w:t>, representante da sociedade civil.</w:t>
      </w:r>
    </w:p>
    <w:p w14:paraId="6633A297" w14:textId="613E476E" w:rsidR="00123575" w:rsidRDefault="00123575" w:rsidP="00123575">
      <w:pPr>
        <w:pStyle w:val="Jurisprudncias"/>
        <w:spacing w:line="276" w:lineRule="auto"/>
        <w:rPr>
          <w:szCs w:val="24"/>
        </w:rPr>
      </w:pPr>
      <w:r>
        <w:rPr>
          <w:b/>
          <w:bCs/>
          <w:szCs w:val="24"/>
        </w:rPr>
        <w:t xml:space="preserve">§ 1º </w:t>
      </w:r>
      <w:r>
        <w:rPr>
          <w:szCs w:val="24"/>
        </w:rPr>
        <w:t xml:space="preserve">Em caso de impedimento, ausência ou afastamento de um dos representantes governamentais, este será substituído por:  </w:t>
      </w:r>
      <w:proofErr w:type="spellStart"/>
      <w:r w:rsidR="003E4948">
        <w:rPr>
          <w:szCs w:val="24"/>
        </w:rPr>
        <w:t>Eliandra</w:t>
      </w:r>
      <w:proofErr w:type="spellEnd"/>
      <w:r w:rsidR="003E4948">
        <w:rPr>
          <w:szCs w:val="24"/>
        </w:rPr>
        <w:t xml:space="preserve"> Salete Moretto e Eduarda Moreno</w:t>
      </w:r>
      <w:r>
        <w:rPr>
          <w:szCs w:val="24"/>
        </w:rPr>
        <w:t>.</w:t>
      </w:r>
    </w:p>
    <w:p w14:paraId="65F1736A" w14:textId="10A4C898" w:rsidR="00123575" w:rsidRDefault="00123575" w:rsidP="00123575">
      <w:pPr>
        <w:pStyle w:val="Jurisprudncias"/>
        <w:spacing w:line="276" w:lineRule="auto"/>
        <w:rPr>
          <w:szCs w:val="24"/>
        </w:rPr>
      </w:pPr>
      <w:r>
        <w:rPr>
          <w:b/>
          <w:bCs/>
          <w:szCs w:val="24"/>
        </w:rPr>
        <w:t xml:space="preserve">§ 2º </w:t>
      </w:r>
      <w:r>
        <w:rPr>
          <w:szCs w:val="24"/>
        </w:rPr>
        <w:t xml:space="preserve">Em caso de impedimento, ausência ou afastamento de um dos representantes da sociedade civil, este será substituído por: Bruna Gabriela </w:t>
      </w:r>
      <w:proofErr w:type="spellStart"/>
      <w:r>
        <w:rPr>
          <w:szCs w:val="24"/>
        </w:rPr>
        <w:t>Sandi</w:t>
      </w:r>
      <w:proofErr w:type="spellEnd"/>
      <w:r w:rsidR="003E4948">
        <w:rPr>
          <w:szCs w:val="24"/>
        </w:rPr>
        <w:t xml:space="preserve"> e </w:t>
      </w:r>
      <w:proofErr w:type="spellStart"/>
      <w:r w:rsidR="003E4948">
        <w:rPr>
          <w:szCs w:val="24"/>
        </w:rPr>
        <w:t>Nilsa</w:t>
      </w:r>
      <w:proofErr w:type="spellEnd"/>
      <w:r w:rsidR="003E4948">
        <w:rPr>
          <w:szCs w:val="24"/>
        </w:rPr>
        <w:t xml:space="preserve"> Maria </w:t>
      </w:r>
      <w:proofErr w:type="spellStart"/>
      <w:r w:rsidR="003E4948">
        <w:rPr>
          <w:szCs w:val="24"/>
        </w:rPr>
        <w:t>Loss</w:t>
      </w:r>
      <w:proofErr w:type="spellEnd"/>
      <w:r>
        <w:rPr>
          <w:szCs w:val="24"/>
        </w:rPr>
        <w:t>.</w:t>
      </w:r>
    </w:p>
    <w:p w14:paraId="7AE58D4F" w14:textId="77777777" w:rsidR="00123575" w:rsidRDefault="00123575" w:rsidP="00123575">
      <w:pPr>
        <w:pStyle w:val="Jurisprudncias"/>
        <w:spacing w:line="276" w:lineRule="auto"/>
        <w:rPr>
          <w:szCs w:val="24"/>
        </w:rPr>
      </w:pPr>
      <w:r>
        <w:rPr>
          <w:b/>
          <w:bCs/>
          <w:szCs w:val="24"/>
        </w:rPr>
        <w:t>§ 3º</w:t>
      </w:r>
      <w:r>
        <w:rPr>
          <w:szCs w:val="24"/>
        </w:rPr>
        <w:t xml:space="preserve"> O CMDCA deverá, entre os membros da Comissão Especial, eleger um Coordenador, cujo voto prevalecerá em caso de empate.</w:t>
      </w:r>
    </w:p>
    <w:p w14:paraId="536B0DCD" w14:textId="77777777" w:rsidR="00123575" w:rsidRDefault="00123575" w:rsidP="00123575">
      <w:pPr>
        <w:pStyle w:val="Jurisprudncias"/>
        <w:spacing w:line="276" w:lineRule="auto"/>
        <w:rPr>
          <w:szCs w:val="24"/>
        </w:rPr>
      </w:pPr>
    </w:p>
    <w:p w14:paraId="4CFD6649" w14:textId="77777777" w:rsidR="00123575" w:rsidRDefault="00123575" w:rsidP="00123575">
      <w:pPr>
        <w:pStyle w:val="Jurisprudncias"/>
        <w:spacing w:line="276" w:lineRule="auto"/>
        <w:rPr>
          <w:szCs w:val="24"/>
        </w:rPr>
      </w:pPr>
      <w:r>
        <w:rPr>
          <w:b/>
          <w:bCs/>
          <w:szCs w:val="24"/>
        </w:rPr>
        <w:lastRenderedPageBreak/>
        <w:t>Art. 3</w:t>
      </w:r>
      <w:r>
        <w:rPr>
          <w:b/>
          <w:bCs/>
          <w:szCs w:val="24"/>
          <w:u w:val="single"/>
          <w:vertAlign w:val="superscript"/>
        </w:rPr>
        <w:t>o</w:t>
      </w:r>
      <w:r>
        <w:rPr>
          <w:szCs w:val="24"/>
        </w:rPr>
        <w:t xml:space="preserve"> Compete à Comissão Especial analisar os pedidos de registro de candidatura e dar ampla publicidade à relação dos pretendentes inscritos, facultando a qualquer cidadão impugnar, no prazo de 5 (cinco) dias, contados da publicação, candidatos que não atendam aos requisitos exigidos, indicando os elementos probatórios.</w:t>
      </w:r>
    </w:p>
    <w:p w14:paraId="3049DF2E" w14:textId="77777777" w:rsidR="00123575" w:rsidRDefault="00123575" w:rsidP="00123575">
      <w:pPr>
        <w:pStyle w:val="Jurisprudncias"/>
        <w:spacing w:line="276" w:lineRule="auto"/>
        <w:rPr>
          <w:szCs w:val="24"/>
        </w:rPr>
      </w:pPr>
      <w:r>
        <w:rPr>
          <w:b/>
          <w:bCs/>
          <w:szCs w:val="24"/>
        </w:rPr>
        <w:t>§ 1</w:t>
      </w:r>
      <w:r>
        <w:rPr>
          <w:b/>
          <w:bCs/>
          <w:szCs w:val="24"/>
          <w:u w:val="single"/>
          <w:vertAlign w:val="superscript"/>
        </w:rPr>
        <w:t>o</w:t>
      </w:r>
      <w:r>
        <w:rPr>
          <w:szCs w:val="24"/>
        </w:rPr>
        <w:t xml:space="preserve"> Diante da impugnação de candidatos ao Conselho Tutelar em razão do não preenchimento dos requisitos legais ou da prática de condutas ilícitas ou vedadas, cabe à Comissão Especial:</w:t>
      </w:r>
    </w:p>
    <w:p w14:paraId="1D03A754" w14:textId="77777777" w:rsidR="00123575" w:rsidRDefault="00123575" w:rsidP="00123575">
      <w:pPr>
        <w:pStyle w:val="Jurisprudncias"/>
        <w:spacing w:line="276" w:lineRule="auto"/>
        <w:rPr>
          <w:szCs w:val="24"/>
        </w:rPr>
      </w:pPr>
      <w:r>
        <w:rPr>
          <w:szCs w:val="24"/>
        </w:rPr>
        <w:t>I – Notificar os candidatos, concedendo-lhes prazo para apresentação de defesa;</w:t>
      </w:r>
    </w:p>
    <w:p w14:paraId="3036FD29" w14:textId="77777777" w:rsidR="00123575" w:rsidRDefault="00123575" w:rsidP="00123575">
      <w:pPr>
        <w:pStyle w:val="Jurisprudncias"/>
        <w:spacing w:line="276" w:lineRule="auto"/>
        <w:rPr>
          <w:szCs w:val="24"/>
        </w:rPr>
      </w:pPr>
      <w:r>
        <w:rPr>
          <w:szCs w:val="24"/>
        </w:rPr>
        <w:t>II – Realizar reunião para decidir acerca da impugnação da candidatura, podendo, se necessário, ouvir testemunhas eventualmente arroladas, determinar a juntada de documentos e a realização de outras diligências;</w:t>
      </w:r>
    </w:p>
    <w:p w14:paraId="489AD7D9" w14:textId="77777777" w:rsidR="00123575" w:rsidRDefault="00123575" w:rsidP="00123575">
      <w:pPr>
        <w:pStyle w:val="Jurisprudncias"/>
        <w:spacing w:line="276" w:lineRule="auto"/>
        <w:rPr>
          <w:szCs w:val="24"/>
        </w:rPr>
      </w:pPr>
      <w:r>
        <w:rPr>
          <w:szCs w:val="24"/>
        </w:rPr>
        <w:t>III – Comunicar ao Ministério Público.</w:t>
      </w:r>
    </w:p>
    <w:p w14:paraId="77578462" w14:textId="77777777" w:rsidR="00123575" w:rsidRDefault="00123575" w:rsidP="00123575">
      <w:pPr>
        <w:pStyle w:val="Jurisprudncias"/>
        <w:spacing w:line="276" w:lineRule="auto"/>
        <w:rPr>
          <w:szCs w:val="24"/>
        </w:rPr>
      </w:pPr>
    </w:p>
    <w:p w14:paraId="737E9AA9" w14:textId="77777777" w:rsidR="00123575" w:rsidRDefault="00123575" w:rsidP="00123575">
      <w:pPr>
        <w:pStyle w:val="Jurisprudncias"/>
        <w:spacing w:line="276" w:lineRule="auto"/>
        <w:rPr>
          <w:szCs w:val="24"/>
        </w:rPr>
      </w:pPr>
      <w:r>
        <w:rPr>
          <w:b/>
          <w:bCs/>
          <w:szCs w:val="24"/>
        </w:rPr>
        <w:t>Art. 4</w:t>
      </w:r>
      <w:r>
        <w:rPr>
          <w:b/>
          <w:bCs/>
          <w:szCs w:val="24"/>
          <w:u w:val="single"/>
          <w:vertAlign w:val="superscript"/>
        </w:rPr>
        <w:t>o</w:t>
      </w:r>
      <w:r>
        <w:rPr>
          <w:szCs w:val="24"/>
        </w:rPr>
        <w:t xml:space="preserve"> Das decisões da Comissão Especial caberá recurso à Plenária do Conselho Municipal dos Direitos da Criança e do Adolescente, que se reunirá, em caráter extraordinário, para decisão com o máximo de celeridade.</w:t>
      </w:r>
    </w:p>
    <w:p w14:paraId="5B00375C" w14:textId="77777777" w:rsidR="00123575" w:rsidRDefault="00123575" w:rsidP="00123575">
      <w:pPr>
        <w:pStyle w:val="Jurisprudncias"/>
        <w:spacing w:line="276" w:lineRule="auto"/>
        <w:rPr>
          <w:szCs w:val="24"/>
        </w:rPr>
      </w:pPr>
      <w:r>
        <w:rPr>
          <w:b/>
          <w:bCs/>
          <w:szCs w:val="24"/>
        </w:rPr>
        <w:t>Parágrafo único</w:t>
      </w:r>
      <w:r>
        <w:rPr>
          <w:szCs w:val="24"/>
        </w:rPr>
        <w:t>. Esgotada a fase recursal, a Comissão Especial encarregada de realizar o processo de escolha publicará a relação dos candidatos habilitados, com cópia ao Ministério Público.</w:t>
      </w:r>
    </w:p>
    <w:p w14:paraId="3258A8E7" w14:textId="77777777" w:rsidR="00123575" w:rsidRDefault="00123575" w:rsidP="00123575">
      <w:pPr>
        <w:pStyle w:val="Jurisprudncias"/>
        <w:spacing w:line="276" w:lineRule="auto"/>
        <w:rPr>
          <w:szCs w:val="24"/>
        </w:rPr>
      </w:pPr>
    </w:p>
    <w:p w14:paraId="0E546FA7" w14:textId="77777777" w:rsidR="00123575" w:rsidRDefault="00123575" w:rsidP="00123575">
      <w:pPr>
        <w:pStyle w:val="Jurisprudncias"/>
        <w:spacing w:line="276" w:lineRule="auto"/>
        <w:rPr>
          <w:szCs w:val="24"/>
        </w:rPr>
      </w:pPr>
      <w:r>
        <w:rPr>
          <w:b/>
          <w:bCs/>
          <w:szCs w:val="24"/>
        </w:rPr>
        <w:t>Art. 5</w:t>
      </w:r>
      <w:r>
        <w:rPr>
          <w:b/>
          <w:bCs/>
          <w:szCs w:val="24"/>
          <w:u w:val="single"/>
          <w:vertAlign w:val="superscript"/>
        </w:rPr>
        <w:t>o</w:t>
      </w:r>
      <w:r>
        <w:rPr>
          <w:szCs w:val="24"/>
        </w:rPr>
        <w:t xml:space="preserve"> São atribuições da Comissão Especial:</w:t>
      </w:r>
    </w:p>
    <w:p w14:paraId="584C02F4" w14:textId="77777777" w:rsidR="00123575" w:rsidRDefault="00123575" w:rsidP="00123575">
      <w:pPr>
        <w:pStyle w:val="Jurisprudncias"/>
        <w:spacing w:line="276" w:lineRule="auto"/>
        <w:rPr>
          <w:szCs w:val="24"/>
        </w:rPr>
      </w:pPr>
      <w:r>
        <w:rPr>
          <w:szCs w:val="24"/>
        </w:rPr>
        <w:t xml:space="preserve">I – Realizar reunião destinada a dar conhecimento formal das regras do processo de escolha aos candidatos considerados habilitados, sob pena de imposição das sanções previstas na legislação local; </w:t>
      </w:r>
    </w:p>
    <w:p w14:paraId="771A27B3" w14:textId="77777777" w:rsidR="00123575" w:rsidRDefault="00123575" w:rsidP="00123575">
      <w:pPr>
        <w:pStyle w:val="Jurisprudncias"/>
        <w:spacing w:line="276" w:lineRule="auto"/>
        <w:rPr>
          <w:szCs w:val="24"/>
        </w:rPr>
      </w:pPr>
      <w:r>
        <w:rPr>
          <w:szCs w:val="24"/>
        </w:rPr>
        <w:t xml:space="preserve">II – Estimular e facilitar o encaminhamento de notícias de fatos que constituam violação das regras de divulgação do processo de escolha por parte dos candidatos ou à sua ordem; </w:t>
      </w:r>
    </w:p>
    <w:p w14:paraId="4171EECB" w14:textId="77777777" w:rsidR="00123575" w:rsidRDefault="00123575" w:rsidP="00123575">
      <w:pPr>
        <w:pStyle w:val="Jurisprudncias"/>
        <w:spacing w:line="276" w:lineRule="auto"/>
        <w:rPr>
          <w:szCs w:val="24"/>
        </w:rPr>
      </w:pPr>
      <w:r>
        <w:rPr>
          <w:szCs w:val="24"/>
        </w:rPr>
        <w:t xml:space="preserve">III – Analisar e decidir, em primeira instância administrativa, os pedidos de impugnação, denúncias e outros incidentes ocorridos a partir do lançamento do edital, durante a campanha e no dia da votação; </w:t>
      </w:r>
    </w:p>
    <w:p w14:paraId="4AE2C9D2" w14:textId="77777777" w:rsidR="00123575" w:rsidRDefault="00123575" w:rsidP="00123575">
      <w:pPr>
        <w:pStyle w:val="Jurisprudncias"/>
        <w:spacing w:line="276" w:lineRule="auto"/>
        <w:rPr>
          <w:szCs w:val="24"/>
        </w:rPr>
      </w:pPr>
      <w:r>
        <w:rPr>
          <w:szCs w:val="24"/>
        </w:rPr>
        <w:t xml:space="preserve">IV – Se utilizadas urnas eletrônicas, providenciar o encaminhamento da lista dos candidatos ao Tribunal Regional Eleitoral, observando rigorosamente a forma e o prazo estabelecido pela Justiça Eleitoral; caso não haja utilização de urnas eletrônicas, providenciar a confecção das cédulas, conforme modelo a ser aprovado, preferencialmente seguindo os parâmetros das cédulas impressas da Justiça Eleitoral; </w:t>
      </w:r>
    </w:p>
    <w:p w14:paraId="79656297" w14:textId="77777777" w:rsidR="00123575" w:rsidRDefault="00123575" w:rsidP="00123575">
      <w:pPr>
        <w:pStyle w:val="Jurisprudncias"/>
        <w:spacing w:line="276" w:lineRule="auto"/>
        <w:rPr>
          <w:rStyle w:val="Refdenotaderodap"/>
        </w:rPr>
      </w:pPr>
      <w:r>
        <w:rPr>
          <w:szCs w:val="24"/>
        </w:rPr>
        <w:t>V – Escolher, mediante posterior homologação do CMDCA, e divulgar os locais do processo de escolha, preferencialmente seguindo o zoneamento da Justiça Eleitoral;</w:t>
      </w:r>
    </w:p>
    <w:p w14:paraId="41842AE0" w14:textId="77777777" w:rsidR="00123575" w:rsidRDefault="00123575" w:rsidP="00123575">
      <w:pPr>
        <w:pStyle w:val="Jurisprudncias"/>
        <w:spacing w:line="276" w:lineRule="auto"/>
      </w:pPr>
      <w:r>
        <w:rPr>
          <w:szCs w:val="24"/>
        </w:rPr>
        <w:t xml:space="preserve">VI – Selecionar e convocar, preferencialmente junto aos órgãos públicos municipais, os mesários e escrutinadores, bem como seus respectivos </w:t>
      </w:r>
      <w:r>
        <w:rPr>
          <w:szCs w:val="24"/>
        </w:rPr>
        <w:lastRenderedPageBreak/>
        <w:t>suplentes, que serão previamente orientados sobre como proceder no dia do processo de escolha, na forma da resolução regulamentadora do pleito;</w:t>
      </w:r>
    </w:p>
    <w:p w14:paraId="066D9C22" w14:textId="77777777" w:rsidR="00123575" w:rsidRDefault="00123575" w:rsidP="00123575">
      <w:pPr>
        <w:pStyle w:val="Jurisprudncias"/>
        <w:spacing w:line="276" w:lineRule="auto"/>
        <w:rPr>
          <w:szCs w:val="24"/>
        </w:rPr>
      </w:pPr>
      <w:r>
        <w:rPr>
          <w:szCs w:val="24"/>
        </w:rPr>
        <w:t xml:space="preserve">VII – Solicitar, junto ao comando da Polícia Militar e Guarda Municipal local, a designação de efetivo para garantir a ordem e a segurança dos locais do processo de escolha e apuração; </w:t>
      </w:r>
    </w:p>
    <w:p w14:paraId="360B8624" w14:textId="77777777" w:rsidR="00123575" w:rsidRDefault="00123575" w:rsidP="00123575">
      <w:pPr>
        <w:pStyle w:val="Jurisprudncias"/>
        <w:spacing w:line="276" w:lineRule="auto"/>
        <w:rPr>
          <w:szCs w:val="24"/>
        </w:rPr>
      </w:pPr>
      <w:r>
        <w:rPr>
          <w:szCs w:val="24"/>
        </w:rPr>
        <w:t>VIII – Divulgar, imediatamente após a apuração, o resultado do processo de escolha; e</w:t>
      </w:r>
    </w:p>
    <w:p w14:paraId="7325D8FC" w14:textId="77777777" w:rsidR="00123575" w:rsidRDefault="00123575" w:rsidP="00123575">
      <w:pPr>
        <w:pStyle w:val="Jurisprudncias"/>
        <w:spacing w:line="276" w:lineRule="auto"/>
        <w:rPr>
          <w:szCs w:val="24"/>
        </w:rPr>
      </w:pPr>
      <w:r>
        <w:rPr>
          <w:szCs w:val="24"/>
        </w:rPr>
        <w:t xml:space="preserve"> IX – Resolver os casos omissos.</w:t>
      </w:r>
    </w:p>
    <w:p w14:paraId="0E022772" w14:textId="77777777" w:rsidR="00123575" w:rsidRDefault="00123575" w:rsidP="00123575">
      <w:pPr>
        <w:pStyle w:val="Jurisprudncias"/>
        <w:spacing w:line="276" w:lineRule="auto"/>
        <w:rPr>
          <w:szCs w:val="24"/>
        </w:rPr>
      </w:pPr>
    </w:p>
    <w:p w14:paraId="03B00979" w14:textId="77777777" w:rsidR="00123575" w:rsidRDefault="00123575" w:rsidP="00123575">
      <w:pPr>
        <w:pStyle w:val="Jurisprudncias"/>
        <w:spacing w:line="276" w:lineRule="auto"/>
        <w:rPr>
          <w:szCs w:val="24"/>
        </w:rPr>
      </w:pPr>
      <w:r>
        <w:rPr>
          <w:b/>
          <w:bCs/>
          <w:szCs w:val="24"/>
        </w:rPr>
        <w:t>Art. 6º</w:t>
      </w:r>
      <w:r>
        <w:rPr>
          <w:szCs w:val="24"/>
        </w:rPr>
        <w:t xml:space="preserve"> Compete à Comissão Especial processar e decidir sobre as denúncias referentes à propaganda eleitoral e demais irregularidades, podendo, inclusive, determinar a retirada ou a suspensão da propaganda, o recolhimento do material e a cassação da candidatura, assegurada a ampla defesa e o contraditório, na forma de resolução específica.</w:t>
      </w:r>
    </w:p>
    <w:p w14:paraId="13681E42" w14:textId="77777777" w:rsidR="00123575" w:rsidRDefault="00123575" w:rsidP="00123575">
      <w:pPr>
        <w:pStyle w:val="Jurisprudncias"/>
        <w:spacing w:line="276" w:lineRule="auto"/>
        <w:rPr>
          <w:szCs w:val="24"/>
        </w:rPr>
      </w:pPr>
    </w:p>
    <w:p w14:paraId="1C5D7F67" w14:textId="77777777" w:rsidR="00123575" w:rsidRDefault="00123575" w:rsidP="00123575">
      <w:pPr>
        <w:pStyle w:val="Jurisprudncias"/>
        <w:spacing w:line="276" w:lineRule="auto"/>
        <w:rPr>
          <w:szCs w:val="24"/>
        </w:rPr>
      </w:pPr>
      <w:r>
        <w:rPr>
          <w:b/>
          <w:bCs/>
          <w:szCs w:val="24"/>
        </w:rPr>
        <w:t>Art. 7º</w:t>
      </w:r>
      <w:r>
        <w:rPr>
          <w:szCs w:val="24"/>
        </w:rPr>
        <w:t xml:space="preserve"> Os recursos interpostos contra decisões da Comissão Especial serão analisados e julgados pelo Conselho Municipal dos Direitos da Criança e do Adolescente.</w:t>
      </w:r>
    </w:p>
    <w:p w14:paraId="49ED5973" w14:textId="77777777" w:rsidR="00123575" w:rsidRDefault="00123575" w:rsidP="00123575">
      <w:pPr>
        <w:pStyle w:val="Jurisprudncias"/>
        <w:spacing w:line="276" w:lineRule="auto"/>
        <w:rPr>
          <w:szCs w:val="24"/>
        </w:rPr>
      </w:pPr>
    </w:p>
    <w:p w14:paraId="318D721C" w14:textId="77777777" w:rsidR="00123575" w:rsidRDefault="00123575" w:rsidP="00123575">
      <w:pPr>
        <w:pStyle w:val="Jurisprudncias"/>
        <w:spacing w:line="276" w:lineRule="auto"/>
        <w:rPr>
          <w:szCs w:val="24"/>
        </w:rPr>
      </w:pPr>
      <w:r>
        <w:rPr>
          <w:b/>
          <w:bCs/>
          <w:szCs w:val="24"/>
        </w:rPr>
        <w:t>Art. 6</w:t>
      </w:r>
      <w:r>
        <w:rPr>
          <w:b/>
          <w:bCs/>
          <w:szCs w:val="24"/>
          <w:u w:val="single"/>
          <w:vertAlign w:val="superscript"/>
        </w:rPr>
        <w:t>o</w:t>
      </w:r>
      <w:r>
        <w:rPr>
          <w:szCs w:val="24"/>
        </w:rPr>
        <w:t xml:space="preserve"> A Comissão Especial deve notificar o Ministério Público, de todas as reuniões deliberativas a serem realizadas pela comissão e pelo Conselho Municipal dos Direitos da Criança e do Adolescente, bem como de todas as decisões nelas proferidas e de todos os incidentes verificados.</w:t>
      </w:r>
    </w:p>
    <w:p w14:paraId="1A5F7424" w14:textId="77777777" w:rsidR="00123575" w:rsidRDefault="00123575" w:rsidP="00123575">
      <w:pPr>
        <w:pStyle w:val="Jurisprudncias"/>
        <w:spacing w:line="276" w:lineRule="auto"/>
        <w:rPr>
          <w:szCs w:val="24"/>
        </w:rPr>
      </w:pPr>
    </w:p>
    <w:p w14:paraId="5AF745FE" w14:textId="77777777" w:rsidR="00123575" w:rsidRDefault="00123575" w:rsidP="00123575">
      <w:pPr>
        <w:pStyle w:val="Jurisprudncias"/>
        <w:spacing w:line="276" w:lineRule="auto"/>
        <w:rPr>
          <w:szCs w:val="24"/>
        </w:rPr>
      </w:pPr>
      <w:r>
        <w:rPr>
          <w:b/>
          <w:bCs/>
          <w:szCs w:val="24"/>
        </w:rPr>
        <w:t>Art. 7</w:t>
      </w:r>
      <w:r>
        <w:rPr>
          <w:b/>
          <w:bCs/>
          <w:szCs w:val="24"/>
          <w:u w:val="single"/>
          <w:vertAlign w:val="superscript"/>
        </w:rPr>
        <w:t>o</w:t>
      </w:r>
      <w:r>
        <w:rPr>
          <w:szCs w:val="24"/>
        </w:rPr>
        <w:t xml:space="preserve"> Esta Resolução entra em vigor na data da sua publicação.</w:t>
      </w:r>
    </w:p>
    <w:p w14:paraId="5B4514F6" w14:textId="77777777" w:rsidR="00123575" w:rsidRDefault="00123575" w:rsidP="00123575">
      <w:pPr>
        <w:pStyle w:val="Jurisprudncias"/>
        <w:spacing w:line="276" w:lineRule="auto"/>
        <w:rPr>
          <w:szCs w:val="24"/>
        </w:rPr>
      </w:pPr>
    </w:p>
    <w:p w14:paraId="04420C98" w14:textId="77777777" w:rsidR="00123575" w:rsidRDefault="00123575" w:rsidP="00123575">
      <w:pPr>
        <w:pStyle w:val="Jurisprudncias"/>
        <w:spacing w:line="276" w:lineRule="auto"/>
        <w:rPr>
          <w:szCs w:val="24"/>
        </w:rPr>
      </w:pPr>
    </w:p>
    <w:p w14:paraId="74E9D3EB" w14:textId="26E08A61" w:rsidR="00123575" w:rsidRDefault="00123575" w:rsidP="00123575">
      <w:pPr>
        <w:pStyle w:val="Jurisprudncias"/>
        <w:spacing w:line="276" w:lineRule="auto"/>
        <w:rPr>
          <w:szCs w:val="24"/>
        </w:rPr>
      </w:pPr>
      <w:r>
        <w:rPr>
          <w:szCs w:val="24"/>
        </w:rPr>
        <w:t xml:space="preserve">Lindóia do Sul/ SC, </w:t>
      </w:r>
      <w:r w:rsidR="003E4948">
        <w:rPr>
          <w:szCs w:val="24"/>
        </w:rPr>
        <w:t>2</w:t>
      </w:r>
      <w:r w:rsidR="00DF44EE">
        <w:rPr>
          <w:szCs w:val="24"/>
        </w:rPr>
        <w:t>0</w:t>
      </w:r>
      <w:r>
        <w:rPr>
          <w:szCs w:val="24"/>
        </w:rPr>
        <w:t xml:space="preserve"> de fevereiro de 202</w:t>
      </w:r>
      <w:r w:rsidR="003E4948">
        <w:rPr>
          <w:szCs w:val="24"/>
        </w:rPr>
        <w:t>6</w:t>
      </w:r>
      <w:r>
        <w:rPr>
          <w:szCs w:val="24"/>
        </w:rPr>
        <w:t>.</w:t>
      </w:r>
    </w:p>
    <w:p w14:paraId="4973E11F" w14:textId="77777777" w:rsidR="00123575" w:rsidRDefault="00123575" w:rsidP="00123575">
      <w:pPr>
        <w:pStyle w:val="Jurisprudncias"/>
        <w:spacing w:line="276" w:lineRule="auto"/>
        <w:rPr>
          <w:szCs w:val="24"/>
        </w:rPr>
      </w:pPr>
    </w:p>
    <w:p w14:paraId="7D903AC0" w14:textId="77777777" w:rsidR="00123575" w:rsidRDefault="00123575" w:rsidP="00123575">
      <w:pPr>
        <w:pStyle w:val="Jurisprudncias"/>
        <w:spacing w:line="276" w:lineRule="auto"/>
        <w:rPr>
          <w:szCs w:val="24"/>
        </w:rPr>
      </w:pPr>
    </w:p>
    <w:p w14:paraId="212AC572" w14:textId="77777777" w:rsidR="00123575" w:rsidRDefault="00123575" w:rsidP="00123575">
      <w:pPr>
        <w:pStyle w:val="Jurisprudncias"/>
        <w:spacing w:line="276" w:lineRule="auto"/>
        <w:rPr>
          <w:szCs w:val="24"/>
        </w:rPr>
      </w:pPr>
    </w:p>
    <w:p w14:paraId="00E57D43" w14:textId="77777777" w:rsidR="00123575" w:rsidRDefault="00123575" w:rsidP="00123575">
      <w:pPr>
        <w:pStyle w:val="Jurisprudncias"/>
        <w:spacing w:line="276" w:lineRule="auto"/>
        <w:rPr>
          <w:szCs w:val="24"/>
        </w:rPr>
      </w:pPr>
    </w:p>
    <w:p w14:paraId="06DB4FDD" w14:textId="77777777" w:rsidR="003E4948" w:rsidRDefault="003E4948" w:rsidP="00123575">
      <w:pPr>
        <w:pStyle w:val="Jurisprudncias"/>
        <w:spacing w:line="276" w:lineRule="auto"/>
        <w:jc w:val="center"/>
        <w:rPr>
          <w:szCs w:val="24"/>
        </w:rPr>
      </w:pPr>
      <w:r>
        <w:rPr>
          <w:szCs w:val="24"/>
        </w:rPr>
        <w:t xml:space="preserve">Giseli Lodi </w:t>
      </w:r>
      <w:proofErr w:type="spellStart"/>
      <w:r>
        <w:rPr>
          <w:szCs w:val="24"/>
        </w:rPr>
        <w:t>Ferrazzo</w:t>
      </w:r>
      <w:proofErr w:type="spellEnd"/>
      <w:r>
        <w:rPr>
          <w:szCs w:val="24"/>
        </w:rPr>
        <w:t xml:space="preserve"> </w:t>
      </w:r>
    </w:p>
    <w:p w14:paraId="3434B149" w14:textId="5B2DCB40" w:rsidR="00123575" w:rsidRDefault="00123575" w:rsidP="00123575">
      <w:pPr>
        <w:pStyle w:val="Jurisprudncias"/>
        <w:spacing w:line="276" w:lineRule="auto"/>
        <w:jc w:val="center"/>
        <w:rPr>
          <w:szCs w:val="24"/>
        </w:rPr>
      </w:pPr>
      <w:r>
        <w:rPr>
          <w:szCs w:val="24"/>
        </w:rPr>
        <w:t>Presidente em exercício do CMDCA</w:t>
      </w:r>
    </w:p>
    <w:p w14:paraId="6482085F" w14:textId="77777777" w:rsidR="00123575" w:rsidRDefault="00123575" w:rsidP="00123575">
      <w:pPr>
        <w:pStyle w:val="Jurisprudncias"/>
        <w:spacing w:line="276" w:lineRule="auto"/>
        <w:jc w:val="center"/>
        <w:rPr>
          <w:szCs w:val="24"/>
        </w:rPr>
      </w:pPr>
      <w:r>
        <w:rPr>
          <w:szCs w:val="24"/>
        </w:rPr>
        <w:t>Conselho Municipal dos Direitos da Criança e do Adolescente</w:t>
      </w:r>
    </w:p>
    <w:p w14:paraId="6B880FF5" w14:textId="77777777" w:rsidR="00123575" w:rsidRDefault="00123575" w:rsidP="00123575">
      <w:pPr>
        <w:pStyle w:val="Jurisprudncias"/>
        <w:spacing w:line="276" w:lineRule="auto"/>
        <w:rPr>
          <w:szCs w:val="24"/>
        </w:rPr>
      </w:pPr>
    </w:p>
    <w:p w14:paraId="5DD915F9" w14:textId="77777777" w:rsidR="00123575" w:rsidRDefault="00123575" w:rsidP="00123575">
      <w:pPr>
        <w:pStyle w:val="Jurisprudncias"/>
        <w:spacing w:line="276" w:lineRule="auto"/>
        <w:rPr>
          <w:szCs w:val="24"/>
        </w:rPr>
      </w:pPr>
    </w:p>
    <w:p w14:paraId="6C2CE7EB" w14:textId="77777777" w:rsidR="0049424B" w:rsidRDefault="0049424B"/>
    <w:sectPr w:rsidR="0049424B">
      <w:headerReference w:type="default" r:id="rId7"/>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E73C83" w14:textId="77777777" w:rsidR="00E81C50" w:rsidRDefault="00E81C50" w:rsidP="00123575">
      <w:r>
        <w:separator/>
      </w:r>
    </w:p>
  </w:endnote>
  <w:endnote w:type="continuationSeparator" w:id="0">
    <w:p w14:paraId="5DEC90D1" w14:textId="77777777" w:rsidR="00E81C50" w:rsidRDefault="00E81C50" w:rsidP="001235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F">
    <w:altName w:val="Calibri"/>
    <w:charset w:val="00"/>
    <w:family w:val="auto"/>
    <w:pitch w:val="variable"/>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796FA0" w14:textId="77777777" w:rsidR="00E81C50" w:rsidRDefault="00E81C50" w:rsidP="00123575">
      <w:r>
        <w:separator/>
      </w:r>
    </w:p>
  </w:footnote>
  <w:footnote w:type="continuationSeparator" w:id="0">
    <w:p w14:paraId="4BDB9943" w14:textId="77777777" w:rsidR="00E81C50" w:rsidRDefault="00E81C50" w:rsidP="001235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74E26" w14:textId="77777777" w:rsidR="00123575" w:rsidRPr="00123575" w:rsidRDefault="00123575" w:rsidP="00123575">
    <w:pPr>
      <w:pStyle w:val="Cabealho"/>
      <w:jc w:val="center"/>
      <w:rPr>
        <w:rFonts w:ascii="Arial" w:hAnsi="Arial" w:cs="Arial"/>
      </w:rPr>
    </w:pPr>
    <w:r w:rsidRPr="00123575">
      <w:rPr>
        <w:rFonts w:ascii="Arial" w:hAnsi="Arial" w:cs="Arial"/>
      </w:rPr>
      <w:t>ESTADO DE SANTA CATARINA</w:t>
    </w:r>
  </w:p>
  <w:p w14:paraId="5C2E0C5A" w14:textId="77777777" w:rsidR="00123575" w:rsidRPr="00123575" w:rsidRDefault="00123575" w:rsidP="00123575">
    <w:pPr>
      <w:pStyle w:val="Cabealho"/>
      <w:jc w:val="center"/>
      <w:rPr>
        <w:rFonts w:ascii="Arial" w:hAnsi="Arial" w:cs="Arial"/>
      </w:rPr>
    </w:pPr>
    <w:r w:rsidRPr="00123575">
      <w:rPr>
        <w:rFonts w:ascii="Arial" w:hAnsi="Arial" w:cs="Arial"/>
      </w:rPr>
      <w:t>MUNICÍPIO DE LIND</w:t>
    </w:r>
    <w:r>
      <w:rPr>
        <w:rFonts w:ascii="Arial" w:hAnsi="Arial" w:cs="Arial"/>
      </w:rPr>
      <w:t>Ó</w:t>
    </w:r>
    <w:r w:rsidRPr="00123575">
      <w:rPr>
        <w:rFonts w:ascii="Arial" w:hAnsi="Arial" w:cs="Arial"/>
      </w:rPr>
      <w:t>IA DO SUL</w:t>
    </w:r>
  </w:p>
  <w:p w14:paraId="6D9CBEF8" w14:textId="77777777" w:rsidR="00123575" w:rsidRDefault="00123575" w:rsidP="00123575">
    <w:pPr>
      <w:pStyle w:val="Cabealho"/>
      <w:jc w:val="center"/>
      <w:rPr>
        <w:rFonts w:ascii="Arial" w:hAnsi="Arial" w:cs="Arial"/>
      </w:rPr>
    </w:pPr>
    <w:r w:rsidRPr="00123575">
      <w:rPr>
        <w:rFonts w:ascii="Arial" w:hAnsi="Arial" w:cs="Arial"/>
      </w:rPr>
      <w:t>CMDCA – CONSELHO MUNICIPAL DOS DIREITOS DA</w:t>
    </w:r>
  </w:p>
  <w:p w14:paraId="31572DF9" w14:textId="77777777" w:rsidR="00123575" w:rsidRPr="00123575" w:rsidRDefault="00123575" w:rsidP="00123575">
    <w:pPr>
      <w:pStyle w:val="Cabealho"/>
      <w:jc w:val="center"/>
      <w:rPr>
        <w:rFonts w:ascii="Arial" w:hAnsi="Arial" w:cs="Arial"/>
      </w:rPr>
    </w:pPr>
    <w:r w:rsidRPr="00123575">
      <w:rPr>
        <w:rFonts w:ascii="Arial" w:hAnsi="Arial" w:cs="Arial"/>
      </w:rPr>
      <w:t xml:space="preserve"> CRIANÇA E DO ADOLESCENTE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A4102C7"/>
    <w:multiLevelType w:val="multilevel"/>
    <w:tmpl w:val="65B2B826"/>
    <w:styleLink w:val="Outline"/>
    <w:lvl w:ilvl="0">
      <w:start w:val="1"/>
      <w:numFmt w:val="decimal"/>
      <w:pStyle w:val="Ttulo1"/>
      <w:lvlText w:val="%1"/>
      <w:lvlJc w:val="left"/>
      <w:pPr>
        <w:ind w:left="432" w:hanging="432"/>
      </w:pPr>
    </w:lvl>
    <w:lvl w:ilvl="1">
      <w:start w:val="1"/>
      <w:numFmt w:val="decimal"/>
      <w:pStyle w:val="Ttulo2"/>
      <w:lvlText w:val="%1.%2"/>
      <w:lvlJc w:val="left"/>
      <w:pPr>
        <w:ind w:left="576" w:hanging="576"/>
      </w:pPr>
    </w:lvl>
    <w:lvl w:ilvl="2">
      <w:start w:val="1"/>
      <w:numFmt w:val="decimal"/>
      <w:pStyle w:val="Ttulo3"/>
      <w:lvlText w:val="%1.%2.%3"/>
      <w:lvlJc w:val="left"/>
      <w:pPr>
        <w:ind w:left="720" w:hanging="720"/>
      </w:pPr>
    </w:lvl>
    <w:lvl w:ilvl="3">
      <w:start w:val="1"/>
      <w:numFmt w:val="decimal"/>
      <w:pStyle w:val="Ttulo4"/>
      <w:lvlText w:val="%1.%2.%3.%4"/>
      <w:lvlJc w:val="left"/>
      <w:pPr>
        <w:ind w:left="864" w:hanging="864"/>
      </w:pPr>
    </w:lvl>
    <w:lvl w:ilvl="4">
      <w:start w:val="1"/>
      <w:numFmt w:val="decimal"/>
      <w:pStyle w:val="Ttulo5"/>
      <w:lvlText w:val="%1.%2.%3.%4.%5"/>
      <w:lvlJc w:val="left"/>
      <w:pPr>
        <w:ind w:left="1008" w:hanging="1008"/>
      </w:pPr>
    </w:lvl>
    <w:lvl w:ilvl="5">
      <w:start w:val="1"/>
      <w:numFmt w:val="decimal"/>
      <w:pStyle w:val="Ttulo6"/>
      <w:lvlText w:val="%1.%2.%3.%4.%5.%6"/>
      <w:lvlJc w:val="left"/>
      <w:pPr>
        <w:ind w:left="1152" w:hanging="1152"/>
      </w:pPr>
    </w:lvl>
    <w:lvl w:ilvl="6">
      <w:start w:val="1"/>
      <w:numFmt w:val="decimal"/>
      <w:pStyle w:val="Ttulo7"/>
      <w:lvlText w:val="%1.%2.%3.%4.%5.%6.%7"/>
      <w:lvlJc w:val="left"/>
      <w:pPr>
        <w:ind w:left="1296" w:hanging="1296"/>
      </w:pPr>
    </w:lvl>
    <w:lvl w:ilvl="7">
      <w:start w:val="1"/>
      <w:numFmt w:val="decimal"/>
      <w:pStyle w:val="Ttulo8"/>
      <w:lvlText w:val="%1.%2.%3.%4.%5.%6.%7.%8"/>
      <w:lvlJc w:val="left"/>
      <w:pPr>
        <w:ind w:left="1440" w:hanging="1440"/>
      </w:pPr>
    </w:lvl>
    <w:lvl w:ilvl="8">
      <w:start w:val="1"/>
      <w:numFmt w:val="decimal"/>
      <w:pStyle w:val="Ttulo9"/>
      <w:lvlText w:val="%1.%2.%3.%4.%5.%6.%7.%8.%9"/>
      <w:lvlJc w:val="left"/>
      <w:pPr>
        <w:ind w:left="1584" w:hanging="1584"/>
      </w:pPr>
    </w:lvl>
  </w:abstractNum>
  <w:num w:numId="1" w16cid:durableId="20587759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3575"/>
    <w:rsid w:val="00084B5A"/>
    <w:rsid w:val="000C1F87"/>
    <w:rsid w:val="00123575"/>
    <w:rsid w:val="00141E3B"/>
    <w:rsid w:val="001620D1"/>
    <w:rsid w:val="001E291F"/>
    <w:rsid w:val="00237A74"/>
    <w:rsid w:val="0036453C"/>
    <w:rsid w:val="003B0568"/>
    <w:rsid w:val="003D672E"/>
    <w:rsid w:val="003E4948"/>
    <w:rsid w:val="003F274C"/>
    <w:rsid w:val="0049424B"/>
    <w:rsid w:val="00846EBF"/>
    <w:rsid w:val="00A36FAC"/>
    <w:rsid w:val="00BA21C0"/>
    <w:rsid w:val="00C668A5"/>
    <w:rsid w:val="00DF44EE"/>
    <w:rsid w:val="00E46960"/>
    <w:rsid w:val="00E81C5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FCFC0B"/>
  <w15:chartTrackingRefBased/>
  <w15:docId w15:val="{33DA75A8-A77C-4883-9A59-94D50520BE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3575"/>
    <w:pPr>
      <w:widowControl w:val="0"/>
      <w:suppressAutoHyphens/>
      <w:autoSpaceDN w:val="0"/>
      <w:spacing w:after="0" w:line="240" w:lineRule="auto"/>
    </w:pPr>
    <w:rPr>
      <w:rFonts w:ascii="Calibri" w:eastAsia="Calibri" w:hAnsi="Calibri" w:cs="F"/>
      <w:sz w:val="24"/>
    </w:rPr>
  </w:style>
  <w:style w:type="paragraph" w:styleId="Ttulo1">
    <w:name w:val="heading 1"/>
    <w:basedOn w:val="Normal"/>
    <w:next w:val="Normal"/>
    <w:link w:val="Ttulo1Char"/>
    <w:uiPriority w:val="9"/>
    <w:qFormat/>
    <w:rsid w:val="00123575"/>
    <w:pPr>
      <w:keepNext/>
      <w:keepLines/>
      <w:widowControl/>
      <w:numPr>
        <w:numId w:val="1"/>
      </w:numPr>
      <w:spacing w:line="360" w:lineRule="auto"/>
      <w:jc w:val="both"/>
      <w:outlineLvl w:val="0"/>
    </w:pPr>
    <w:rPr>
      <w:rFonts w:ascii="Arial" w:eastAsia="F" w:hAnsi="Arial"/>
      <w:b/>
      <w:sz w:val="26"/>
      <w:szCs w:val="32"/>
    </w:rPr>
  </w:style>
  <w:style w:type="paragraph" w:styleId="Ttulo2">
    <w:name w:val="heading 2"/>
    <w:basedOn w:val="Normal"/>
    <w:next w:val="Normal"/>
    <w:link w:val="Ttulo2Char"/>
    <w:uiPriority w:val="9"/>
    <w:semiHidden/>
    <w:unhideWhenUsed/>
    <w:qFormat/>
    <w:rsid w:val="00123575"/>
    <w:pPr>
      <w:keepNext/>
      <w:keepLines/>
      <w:widowControl/>
      <w:numPr>
        <w:ilvl w:val="1"/>
        <w:numId w:val="1"/>
      </w:numPr>
      <w:spacing w:line="360" w:lineRule="auto"/>
      <w:jc w:val="both"/>
      <w:outlineLvl w:val="1"/>
    </w:pPr>
    <w:rPr>
      <w:rFonts w:ascii="Arial" w:eastAsia="F" w:hAnsi="Arial"/>
      <w:b/>
      <w:szCs w:val="26"/>
    </w:rPr>
  </w:style>
  <w:style w:type="paragraph" w:styleId="Ttulo3">
    <w:name w:val="heading 3"/>
    <w:basedOn w:val="Normal"/>
    <w:next w:val="Normal"/>
    <w:link w:val="Ttulo3Char"/>
    <w:uiPriority w:val="9"/>
    <w:semiHidden/>
    <w:unhideWhenUsed/>
    <w:qFormat/>
    <w:rsid w:val="00123575"/>
    <w:pPr>
      <w:keepNext/>
      <w:keepLines/>
      <w:widowControl/>
      <w:numPr>
        <w:ilvl w:val="2"/>
        <w:numId w:val="1"/>
      </w:numPr>
      <w:spacing w:line="360" w:lineRule="auto"/>
      <w:jc w:val="both"/>
      <w:outlineLvl w:val="2"/>
    </w:pPr>
    <w:rPr>
      <w:rFonts w:ascii="Arial" w:eastAsia="F" w:hAnsi="Arial"/>
      <w:i/>
      <w:color w:val="000000"/>
      <w:szCs w:val="24"/>
    </w:rPr>
  </w:style>
  <w:style w:type="paragraph" w:styleId="Ttulo4">
    <w:name w:val="heading 4"/>
    <w:basedOn w:val="Normal"/>
    <w:next w:val="Normal"/>
    <w:link w:val="Ttulo4Char"/>
    <w:uiPriority w:val="9"/>
    <w:semiHidden/>
    <w:unhideWhenUsed/>
    <w:qFormat/>
    <w:rsid w:val="00123575"/>
    <w:pPr>
      <w:keepNext/>
      <w:keepLines/>
      <w:widowControl/>
      <w:numPr>
        <w:ilvl w:val="3"/>
        <w:numId w:val="1"/>
      </w:numPr>
      <w:spacing w:before="40" w:line="360" w:lineRule="auto"/>
      <w:jc w:val="both"/>
      <w:outlineLvl w:val="3"/>
    </w:pPr>
    <w:rPr>
      <w:rFonts w:ascii="Calibri Light" w:eastAsia="F" w:hAnsi="Calibri Light"/>
      <w:i/>
      <w:iCs/>
      <w:color w:val="2F5496"/>
    </w:rPr>
  </w:style>
  <w:style w:type="paragraph" w:styleId="Ttulo5">
    <w:name w:val="heading 5"/>
    <w:basedOn w:val="Normal"/>
    <w:next w:val="Normal"/>
    <w:link w:val="Ttulo5Char"/>
    <w:uiPriority w:val="9"/>
    <w:semiHidden/>
    <w:unhideWhenUsed/>
    <w:qFormat/>
    <w:rsid w:val="00123575"/>
    <w:pPr>
      <w:keepNext/>
      <w:keepLines/>
      <w:widowControl/>
      <w:numPr>
        <w:ilvl w:val="4"/>
        <w:numId w:val="1"/>
      </w:numPr>
      <w:spacing w:before="40" w:line="360" w:lineRule="auto"/>
      <w:jc w:val="both"/>
      <w:outlineLvl w:val="4"/>
    </w:pPr>
    <w:rPr>
      <w:rFonts w:ascii="Calibri Light" w:eastAsia="F" w:hAnsi="Calibri Light"/>
      <w:color w:val="2F5496"/>
    </w:rPr>
  </w:style>
  <w:style w:type="paragraph" w:styleId="Ttulo6">
    <w:name w:val="heading 6"/>
    <w:basedOn w:val="Normal"/>
    <w:next w:val="Normal"/>
    <w:link w:val="Ttulo6Char"/>
    <w:uiPriority w:val="9"/>
    <w:semiHidden/>
    <w:unhideWhenUsed/>
    <w:qFormat/>
    <w:rsid w:val="00123575"/>
    <w:pPr>
      <w:keepNext/>
      <w:keepLines/>
      <w:widowControl/>
      <w:numPr>
        <w:ilvl w:val="5"/>
        <w:numId w:val="1"/>
      </w:numPr>
      <w:spacing w:before="40" w:line="360" w:lineRule="auto"/>
      <w:jc w:val="both"/>
      <w:outlineLvl w:val="5"/>
    </w:pPr>
    <w:rPr>
      <w:rFonts w:ascii="Calibri Light" w:eastAsia="F" w:hAnsi="Calibri Light"/>
      <w:color w:val="1F3763"/>
    </w:rPr>
  </w:style>
  <w:style w:type="paragraph" w:styleId="Ttulo7">
    <w:name w:val="heading 7"/>
    <w:basedOn w:val="Normal"/>
    <w:next w:val="Normal"/>
    <w:link w:val="Ttulo7Char"/>
    <w:semiHidden/>
    <w:unhideWhenUsed/>
    <w:qFormat/>
    <w:rsid w:val="00123575"/>
    <w:pPr>
      <w:keepNext/>
      <w:keepLines/>
      <w:widowControl/>
      <w:numPr>
        <w:ilvl w:val="6"/>
        <w:numId w:val="1"/>
      </w:numPr>
      <w:spacing w:before="40" w:line="360" w:lineRule="auto"/>
      <w:jc w:val="both"/>
      <w:outlineLvl w:val="6"/>
    </w:pPr>
    <w:rPr>
      <w:rFonts w:ascii="Calibri Light" w:eastAsia="F" w:hAnsi="Calibri Light"/>
      <w:i/>
      <w:iCs/>
      <w:color w:val="1F3763"/>
    </w:rPr>
  </w:style>
  <w:style w:type="paragraph" w:styleId="Ttulo8">
    <w:name w:val="heading 8"/>
    <w:basedOn w:val="Normal"/>
    <w:next w:val="Normal"/>
    <w:link w:val="Ttulo8Char"/>
    <w:semiHidden/>
    <w:unhideWhenUsed/>
    <w:qFormat/>
    <w:rsid w:val="00123575"/>
    <w:pPr>
      <w:keepNext/>
      <w:keepLines/>
      <w:widowControl/>
      <w:numPr>
        <w:ilvl w:val="7"/>
        <w:numId w:val="1"/>
      </w:numPr>
      <w:spacing w:before="40" w:line="360" w:lineRule="auto"/>
      <w:jc w:val="both"/>
      <w:outlineLvl w:val="7"/>
    </w:pPr>
    <w:rPr>
      <w:rFonts w:ascii="Calibri Light" w:eastAsia="F" w:hAnsi="Calibri Light"/>
      <w:color w:val="272727"/>
      <w:sz w:val="21"/>
      <w:szCs w:val="21"/>
    </w:rPr>
  </w:style>
  <w:style w:type="paragraph" w:styleId="Ttulo9">
    <w:name w:val="heading 9"/>
    <w:basedOn w:val="Normal"/>
    <w:next w:val="Normal"/>
    <w:link w:val="Ttulo9Char"/>
    <w:semiHidden/>
    <w:unhideWhenUsed/>
    <w:qFormat/>
    <w:rsid w:val="00123575"/>
    <w:pPr>
      <w:keepNext/>
      <w:keepLines/>
      <w:widowControl/>
      <w:numPr>
        <w:ilvl w:val="8"/>
        <w:numId w:val="1"/>
      </w:numPr>
      <w:spacing w:before="40" w:line="360" w:lineRule="auto"/>
      <w:jc w:val="both"/>
      <w:outlineLvl w:val="8"/>
    </w:pPr>
    <w:rPr>
      <w:rFonts w:ascii="Calibri Light" w:eastAsia="F" w:hAnsi="Calibri Light"/>
      <w:i/>
      <w:iCs/>
      <w:color w:val="272727"/>
      <w:sz w:val="21"/>
      <w:szCs w:val="21"/>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123575"/>
    <w:rPr>
      <w:rFonts w:ascii="Arial" w:eastAsia="F" w:hAnsi="Arial" w:cs="F"/>
      <w:b/>
      <w:sz w:val="26"/>
      <w:szCs w:val="32"/>
    </w:rPr>
  </w:style>
  <w:style w:type="character" w:customStyle="1" w:styleId="Ttulo2Char">
    <w:name w:val="Título 2 Char"/>
    <w:basedOn w:val="Fontepargpadro"/>
    <w:link w:val="Ttulo2"/>
    <w:uiPriority w:val="9"/>
    <w:semiHidden/>
    <w:rsid w:val="00123575"/>
    <w:rPr>
      <w:rFonts w:ascii="Arial" w:eastAsia="F" w:hAnsi="Arial" w:cs="F"/>
      <w:b/>
      <w:sz w:val="24"/>
      <w:szCs w:val="26"/>
    </w:rPr>
  </w:style>
  <w:style w:type="character" w:customStyle="1" w:styleId="Ttulo3Char">
    <w:name w:val="Título 3 Char"/>
    <w:basedOn w:val="Fontepargpadro"/>
    <w:link w:val="Ttulo3"/>
    <w:uiPriority w:val="9"/>
    <w:semiHidden/>
    <w:rsid w:val="00123575"/>
    <w:rPr>
      <w:rFonts w:ascii="Arial" w:eastAsia="F" w:hAnsi="Arial" w:cs="F"/>
      <w:i/>
      <w:color w:val="000000"/>
      <w:sz w:val="24"/>
      <w:szCs w:val="24"/>
    </w:rPr>
  </w:style>
  <w:style w:type="character" w:customStyle="1" w:styleId="Ttulo4Char">
    <w:name w:val="Título 4 Char"/>
    <w:basedOn w:val="Fontepargpadro"/>
    <w:link w:val="Ttulo4"/>
    <w:uiPriority w:val="9"/>
    <w:semiHidden/>
    <w:rsid w:val="00123575"/>
    <w:rPr>
      <w:rFonts w:ascii="Calibri Light" w:eastAsia="F" w:hAnsi="Calibri Light" w:cs="F"/>
      <w:i/>
      <w:iCs/>
      <w:color w:val="2F5496"/>
      <w:sz w:val="24"/>
    </w:rPr>
  </w:style>
  <w:style w:type="character" w:customStyle="1" w:styleId="Ttulo5Char">
    <w:name w:val="Título 5 Char"/>
    <w:basedOn w:val="Fontepargpadro"/>
    <w:link w:val="Ttulo5"/>
    <w:uiPriority w:val="9"/>
    <w:semiHidden/>
    <w:rsid w:val="00123575"/>
    <w:rPr>
      <w:rFonts w:ascii="Calibri Light" w:eastAsia="F" w:hAnsi="Calibri Light" w:cs="F"/>
      <w:color w:val="2F5496"/>
      <w:sz w:val="24"/>
    </w:rPr>
  </w:style>
  <w:style w:type="character" w:customStyle="1" w:styleId="Ttulo6Char">
    <w:name w:val="Título 6 Char"/>
    <w:basedOn w:val="Fontepargpadro"/>
    <w:link w:val="Ttulo6"/>
    <w:uiPriority w:val="9"/>
    <w:semiHidden/>
    <w:rsid w:val="00123575"/>
    <w:rPr>
      <w:rFonts w:ascii="Calibri Light" w:eastAsia="F" w:hAnsi="Calibri Light" w:cs="F"/>
      <w:color w:val="1F3763"/>
      <w:sz w:val="24"/>
    </w:rPr>
  </w:style>
  <w:style w:type="character" w:customStyle="1" w:styleId="Ttulo7Char">
    <w:name w:val="Título 7 Char"/>
    <w:basedOn w:val="Fontepargpadro"/>
    <w:link w:val="Ttulo7"/>
    <w:semiHidden/>
    <w:rsid w:val="00123575"/>
    <w:rPr>
      <w:rFonts w:ascii="Calibri Light" w:eastAsia="F" w:hAnsi="Calibri Light" w:cs="F"/>
      <w:i/>
      <w:iCs/>
      <w:color w:val="1F3763"/>
      <w:sz w:val="24"/>
    </w:rPr>
  </w:style>
  <w:style w:type="character" w:customStyle="1" w:styleId="Ttulo8Char">
    <w:name w:val="Título 8 Char"/>
    <w:basedOn w:val="Fontepargpadro"/>
    <w:link w:val="Ttulo8"/>
    <w:semiHidden/>
    <w:rsid w:val="00123575"/>
    <w:rPr>
      <w:rFonts w:ascii="Calibri Light" w:eastAsia="F" w:hAnsi="Calibri Light" w:cs="F"/>
      <w:color w:val="272727"/>
      <w:sz w:val="21"/>
      <w:szCs w:val="21"/>
    </w:rPr>
  </w:style>
  <w:style w:type="character" w:customStyle="1" w:styleId="Ttulo9Char">
    <w:name w:val="Título 9 Char"/>
    <w:basedOn w:val="Fontepargpadro"/>
    <w:link w:val="Ttulo9"/>
    <w:semiHidden/>
    <w:rsid w:val="00123575"/>
    <w:rPr>
      <w:rFonts w:ascii="Calibri Light" w:eastAsia="F" w:hAnsi="Calibri Light" w:cs="F"/>
      <w:i/>
      <w:iCs/>
      <w:color w:val="272727"/>
      <w:sz w:val="21"/>
      <w:szCs w:val="21"/>
    </w:rPr>
  </w:style>
  <w:style w:type="paragraph" w:styleId="Citao">
    <w:name w:val="Quote"/>
    <w:basedOn w:val="Normal"/>
    <w:next w:val="Normal"/>
    <w:link w:val="CitaoChar"/>
    <w:uiPriority w:val="29"/>
    <w:qFormat/>
    <w:rsid w:val="00123575"/>
    <w:pPr>
      <w:widowControl/>
      <w:ind w:left="2268"/>
      <w:jc w:val="both"/>
    </w:pPr>
    <w:rPr>
      <w:rFonts w:ascii="Arial" w:eastAsia="Arial" w:hAnsi="Arial" w:cs="Arial"/>
      <w:iCs/>
      <w:color w:val="404040"/>
      <w:sz w:val="20"/>
    </w:rPr>
  </w:style>
  <w:style w:type="character" w:customStyle="1" w:styleId="CitaoChar">
    <w:name w:val="Citação Char"/>
    <w:basedOn w:val="Fontepargpadro"/>
    <w:link w:val="Citao"/>
    <w:uiPriority w:val="29"/>
    <w:rsid w:val="00123575"/>
    <w:rPr>
      <w:rFonts w:ascii="Arial" w:eastAsia="Arial" w:hAnsi="Arial" w:cs="Arial"/>
      <w:iCs/>
      <w:color w:val="404040"/>
      <w:sz w:val="20"/>
    </w:rPr>
  </w:style>
  <w:style w:type="paragraph" w:customStyle="1" w:styleId="Jurisprudncias">
    <w:name w:val="Jurisprudências"/>
    <w:basedOn w:val="Normal"/>
    <w:qFormat/>
    <w:rsid w:val="00123575"/>
    <w:pPr>
      <w:widowControl/>
      <w:jc w:val="both"/>
    </w:pPr>
    <w:rPr>
      <w:rFonts w:ascii="Arial" w:eastAsia="Arial" w:hAnsi="Arial" w:cs="Arial"/>
    </w:rPr>
  </w:style>
  <w:style w:type="character" w:styleId="Refdenotaderodap">
    <w:name w:val="footnote reference"/>
    <w:uiPriority w:val="99"/>
    <w:semiHidden/>
    <w:unhideWhenUsed/>
    <w:rsid w:val="00123575"/>
    <w:rPr>
      <w:vertAlign w:val="superscript"/>
    </w:rPr>
  </w:style>
  <w:style w:type="numbering" w:customStyle="1" w:styleId="Outline">
    <w:name w:val="Outline"/>
    <w:rsid w:val="00123575"/>
    <w:pPr>
      <w:numPr>
        <w:numId w:val="1"/>
      </w:numPr>
    </w:pPr>
  </w:style>
  <w:style w:type="paragraph" w:styleId="Cabealho">
    <w:name w:val="header"/>
    <w:basedOn w:val="Normal"/>
    <w:link w:val="CabealhoChar"/>
    <w:uiPriority w:val="99"/>
    <w:unhideWhenUsed/>
    <w:rsid w:val="00123575"/>
    <w:pPr>
      <w:tabs>
        <w:tab w:val="center" w:pos="4252"/>
        <w:tab w:val="right" w:pos="8504"/>
      </w:tabs>
    </w:pPr>
  </w:style>
  <w:style w:type="character" w:customStyle="1" w:styleId="CabealhoChar">
    <w:name w:val="Cabeçalho Char"/>
    <w:basedOn w:val="Fontepargpadro"/>
    <w:link w:val="Cabealho"/>
    <w:uiPriority w:val="99"/>
    <w:rsid w:val="00123575"/>
    <w:rPr>
      <w:rFonts w:ascii="Calibri" w:eastAsia="Calibri" w:hAnsi="Calibri" w:cs="F"/>
      <w:sz w:val="24"/>
    </w:rPr>
  </w:style>
  <w:style w:type="paragraph" w:styleId="Rodap">
    <w:name w:val="footer"/>
    <w:basedOn w:val="Normal"/>
    <w:link w:val="RodapChar"/>
    <w:uiPriority w:val="99"/>
    <w:unhideWhenUsed/>
    <w:rsid w:val="00123575"/>
    <w:pPr>
      <w:tabs>
        <w:tab w:val="center" w:pos="4252"/>
        <w:tab w:val="right" w:pos="8504"/>
      </w:tabs>
    </w:pPr>
  </w:style>
  <w:style w:type="character" w:customStyle="1" w:styleId="RodapChar">
    <w:name w:val="Rodapé Char"/>
    <w:basedOn w:val="Fontepargpadro"/>
    <w:link w:val="Rodap"/>
    <w:uiPriority w:val="99"/>
    <w:rsid w:val="00123575"/>
    <w:rPr>
      <w:rFonts w:ascii="Calibri" w:eastAsia="Calibri" w:hAnsi="Calibri" w:cs="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16084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971</Words>
  <Characters>5244</Characters>
  <Application>Microsoft Office Word</Application>
  <DocSecurity>0</DocSecurity>
  <Lines>43</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Neusa Moscon</dc:creator>
  <cp:keywords/>
  <dc:description/>
  <cp:lastModifiedBy>Cliente</cp:lastModifiedBy>
  <cp:revision>3</cp:revision>
  <cp:lastPrinted>2026-02-25T21:53:00Z</cp:lastPrinted>
  <dcterms:created xsi:type="dcterms:W3CDTF">2026-02-23T20:29:00Z</dcterms:created>
  <dcterms:modified xsi:type="dcterms:W3CDTF">2026-02-25T21:53:00Z</dcterms:modified>
</cp:coreProperties>
</file>