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left"/>
        <w:rPr>
          <w:lang w:val="pt-BR"/>
        </w:rPr>
      </w:pPr>
      <w:r>
        <w:rPr>
          <w:rFonts w:ascii="Arial" w:hAnsi="Arial"/>
          <w:b/>
          <w:sz w:val="21"/>
          <w:szCs w:val="21"/>
          <w:lang w:val="pt-BR"/>
        </w:rPr>
        <w:t>PROCESSO LICITATÓRIO Nº 0</w:t>
      </w:r>
      <w:r>
        <w:rPr>
          <w:rFonts w:ascii="Arial" w:hAnsi="Arial"/>
          <w:b/>
          <w:sz w:val="21"/>
          <w:szCs w:val="21"/>
          <w:lang w:val="pt-BR"/>
        </w:rPr>
        <w:t>5</w:t>
      </w:r>
      <w:r>
        <w:rPr>
          <w:rFonts w:ascii="Arial" w:hAnsi="Arial"/>
          <w:b/>
          <w:sz w:val="21"/>
          <w:szCs w:val="21"/>
          <w:lang w:val="pt-BR"/>
        </w:rPr>
        <w:t>/2024</w:t>
      </w:r>
    </w:p>
    <w:p>
      <w:pPr>
        <w:pStyle w:val="Normal"/>
        <w:spacing w:lineRule="auto" w:line="276" w:before="0" w:after="0"/>
        <w:jc w:val="left"/>
        <w:rPr>
          <w:lang w:val="pt-BR"/>
        </w:rPr>
      </w:pPr>
      <w:r>
        <w:rPr>
          <w:rFonts w:ascii="Arial" w:hAnsi="Arial"/>
          <w:b/>
          <w:sz w:val="21"/>
          <w:szCs w:val="21"/>
          <w:lang w:val="pt-BR"/>
        </w:rPr>
        <w:t>DISPENSA DE LICITAÇÃO Nº 03/2024</w:t>
      </w:r>
    </w:p>
    <w:p>
      <w:pPr>
        <w:pStyle w:val="Corpodotexto"/>
        <w:spacing w:lineRule="auto" w:line="360" w:before="0" w:after="0"/>
        <w:jc w:val="center"/>
        <w:rPr>
          <w:rFonts w:ascii="Arial" w:hAnsi="Arial"/>
          <w:b/>
          <w:b/>
          <w:sz w:val="21"/>
          <w:szCs w:val="21"/>
        </w:rPr>
      </w:pPr>
      <w:r>
        <w:rPr>
          <w:lang w:val="pt-BR"/>
        </w:rPr>
      </w:r>
    </w:p>
    <w:p>
      <w:pPr>
        <w:pStyle w:val="Corpodotexto"/>
        <w:spacing w:lineRule="auto" w:line="360" w:before="0" w:after="0"/>
        <w:jc w:val="center"/>
        <w:rPr>
          <w:rFonts w:ascii="Arial" w:hAnsi="Arial"/>
          <w:b/>
          <w:b/>
          <w:sz w:val="21"/>
          <w:szCs w:val="21"/>
        </w:rPr>
      </w:pPr>
      <w:r>
        <w:rPr>
          <w:lang w:val="pt-BR"/>
        </w:rPr>
      </w:r>
    </w:p>
    <w:p>
      <w:pPr>
        <w:pStyle w:val="Corpodotexto"/>
        <w:spacing w:lineRule="auto" w:line="360" w:before="0" w:after="0"/>
        <w:jc w:val="center"/>
        <w:rPr>
          <w:lang w:val="pt-BR"/>
        </w:rPr>
      </w:pPr>
      <w:r>
        <w:rPr>
          <w:rFonts w:ascii="Arial" w:hAnsi="Arial"/>
          <w:b/>
          <w:sz w:val="21"/>
          <w:szCs w:val="21"/>
          <w:lang w:val="pt-BR"/>
        </w:rPr>
        <w:t>DIVULGAÇÃO DE DISPENSA DE LICITAÇÃO</w:t>
      </w:r>
    </w:p>
    <w:p>
      <w:pPr>
        <w:pStyle w:val="Normal"/>
        <w:spacing w:lineRule="auto" w:line="360" w:before="0" w:after="0"/>
        <w:jc w:val="center"/>
        <w:rPr>
          <w:rFonts w:ascii="Arial" w:hAnsi="Arial"/>
          <w:b/>
          <w:b/>
          <w:sz w:val="21"/>
          <w:szCs w:val="21"/>
        </w:rPr>
      </w:pPr>
      <w:r>
        <w:rPr>
          <w:lang w:val="pt-BR"/>
        </w:rPr>
      </w:r>
    </w:p>
    <w:p>
      <w:pPr>
        <w:pStyle w:val="Normal"/>
        <w:spacing w:lineRule="auto" w:line="360" w:before="0" w:after="0"/>
        <w:jc w:val="both"/>
        <w:rPr>
          <w:rFonts w:ascii="Arial" w:hAnsi="Arial"/>
          <w:bCs/>
          <w:iCs/>
          <w:sz w:val="21"/>
          <w:szCs w:val="21"/>
          <w:lang w:val="pt-BR"/>
        </w:rPr>
      </w:pPr>
      <w:r>
        <w:rPr>
          <w:rFonts w:ascii="Arial" w:hAnsi="Arial"/>
          <w:bCs/>
          <w:iCs/>
          <w:sz w:val="21"/>
          <w:szCs w:val="21"/>
          <w:lang w:val="pt-BR"/>
        </w:rPr>
      </w:r>
    </w:p>
    <w:p>
      <w:pPr>
        <w:pStyle w:val="Normal"/>
        <w:spacing w:lineRule="auto" w:line="360" w:before="0" w:after="0"/>
        <w:jc w:val="both"/>
        <w:rPr>
          <w:lang w:val="pt-BR"/>
        </w:rPr>
      </w:pPr>
      <w:r>
        <w:rPr>
          <w:rFonts w:eastAsia="Times New Roman" w:cs="Arial" w:ascii="Arial" w:hAnsi="Arial"/>
          <w:bCs/>
          <w:iCs/>
          <w:sz w:val="21"/>
          <w:szCs w:val="21"/>
          <w:lang w:val="pt-BR" w:eastAsia="pt-BR"/>
        </w:rPr>
        <w:t xml:space="preserve">O Município de Lindoia do Sul/SC, Estado de Santa Catarina, inscrito no CNPJ nº 78.510.112/0001-80, </w:t>
      </w:r>
      <w:r>
        <w:rPr>
          <w:rFonts w:ascii="Arial" w:hAnsi="Arial"/>
          <w:iCs/>
          <w:sz w:val="21"/>
          <w:szCs w:val="21"/>
          <w:lang w:val="pt-BR"/>
        </w:rPr>
        <w:t xml:space="preserve">torna público para conhecimento de todos os </w:t>
      </w:r>
      <w:r>
        <w:rPr>
          <w:rFonts w:ascii="Arial" w:hAnsi="Arial"/>
          <w:sz w:val="21"/>
          <w:szCs w:val="21"/>
          <w:lang w:val="pt-BR"/>
        </w:rPr>
        <w:t xml:space="preserve">interessados que realizará processo de dispensa de licitação </w:t>
      </w:r>
      <w:bookmarkStart w:id="0" w:name="_Hlk140752681"/>
      <w:r>
        <w:rPr>
          <w:rFonts w:ascii="Arial" w:hAnsi="Arial"/>
          <w:sz w:val="21"/>
          <w:szCs w:val="21"/>
          <w:lang w:val="pt-BR"/>
        </w:rPr>
        <w:t>para a prestação de serviços de publicação de extrato de seus editais de licitação em jornal diário de grande circulação</w:t>
      </w:r>
      <w:bookmarkEnd w:id="0"/>
      <w:r>
        <w:rPr>
          <w:rFonts w:ascii="Arial" w:hAnsi="Arial"/>
          <w:sz w:val="21"/>
          <w:szCs w:val="21"/>
          <w:lang w:val="pt-BR"/>
        </w:rPr>
        <w:t xml:space="preserve"> de formato digital, nos termos do art. 75, inciso II c/c § 2º, da Lei Federal n. 14.133/2021 e conforme previsto pelo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center"/>
        <w:rPr>
          <w:lang w:val="pt-BR"/>
        </w:rPr>
      </w:pPr>
      <w:r>
        <w:rPr>
          <w:rFonts w:ascii="Arial" w:hAnsi="Arial"/>
          <w:b/>
          <w:sz w:val="21"/>
          <w:szCs w:val="21"/>
          <w:lang w:val="pt-BR"/>
        </w:rPr>
        <w:t>I - DO OBJETO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1.1. O objeto do presente documento é a divulgação da contratação por dispensa de licitação, com a finalidade de obter, de eventuais interessados, propostas adicionais àquela que a Administração pretende contratar, conforme disposto no art. 75, § 3º, da Lei Federal n. 14.133/2021 e no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1.2. Segue a descrição do objeto que se pretende contratar, </w:t>
      </w:r>
      <w:r>
        <w:rPr>
          <w:rFonts w:ascii="Arial" w:hAnsi="Arial"/>
          <w:sz w:val="21"/>
          <w:szCs w:val="21"/>
          <w:lang w:val="pt-BR"/>
        </w:rPr>
        <w:t>com valor estimado de referência</w:t>
      </w:r>
      <w:r>
        <w:rPr>
          <w:rFonts w:ascii="Arial" w:hAnsi="Arial"/>
          <w:sz w:val="21"/>
          <w:szCs w:val="21"/>
          <w:lang w:val="pt-BR"/>
        </w:rPr>
        <w:t>:</w:t>
      </w:r>
    </w:p>
    <w:p>
      <w:pPr>
        <w:pStyle w:val="Normal"/>
        <w:spacing w:lineRule="auto" w:line="360" w:before="0" w:after="0"/>
        <w:jc w:val="both"/>
        <w:rPr>
          <w:lang w:val="pt-BR"/>
        </w:rPr>
      </w:pPr>
      <w:r>
        <w:rPr>
          <w:lang w:val="pt-BR"/>
        </w:rPr>
      </w:r>
    </w:p>
    <w:tbl>
      <w:tblPr>
        <w:tblW w:w="906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569"/>
        <w:gridCol w:w="521"/>
        <w:gridCol w:w="1021"/>
        <w:gridCol w:w="3691"/>
        <w:gridCol w:w="851"/>
        <w:gridCol w:w="1133"/>
        <w:gridCol w:w="1276"/>
      </w:tblGrid>
      <w:tr>
        <w:trPr>
          <w:tblHeader w:val="true"/>
          <w:trHeight w:val="567" w:hRule="atLeast"/>
        </w:trPr>
        <w:tc>
          <w:tcPr>
            <w:tcW w:w="569" w:type="dxa"/>
            <w:tcBorders>
              <w:top w:val="single" w:sz="8" w:space="0" w:color="000000"/>
              <w:left w:val="single" w:sz="8" w:space="0" w:color="000000"/>
              <w:bottom w:val="single" w:sz="8" w:space="0" w:color="000000"/>
              <w:right w:val="single" w:sz="8"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ITEM</w:t>
            </w:r>
          </w:p>
        </w:tc>
        <w:tc>
          <w:tcPr>
            <w:tcW w:w="521" w:type="dxa"/>
            <w:tcBorders>
              <w:top w:val="single" w:sz="8" w:space="0" w:color="000000"/>
              <w:bottom w:val="single" w:sz="8" w:space="0" w:color="000000"/>
              <w:right w:val="single" w:sz="8"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QTD</w:t>
            </w:r>
          </w:p>
        </w:tc>
        <w:tc>
          <w:tcPr>
            <w:tcW w:w="1021" w:type="dxa"/>
            <w:tcBorders>
              <w:top w:val="single" w:sz="8" w:space="0" w:color="000000"/>
              <w:bottom w:val="single" w:sz="8" w:space="0" w:color="000000"/>
              <w:right w:val="single" w:sz="8"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UNIDADE</w:t>
            </w:r>
          </w:p>
        </w:tc>
        <w:tc>
          <w:tcPr>
            <w:tcW w:w="3691" w:type="dxa"/>
            <w:tcBorders>
              <w:top w:val="single" w:sz="8" w:space="0" w:color="000000"/>
              <w:bottom w:val="single" w:sz="8" w:space="0" w:color="000000"/>
              <w:right w:val="single" w:sz="4"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DESCRIÇÃO</w:t>
            </w:r>
          </w:p>
        </w:tc>
        <w:tc>
          <w:tcPr>
            <w:tcW w:w="851" w:type="dxa"/>
            <w:tcBorders>
              <w:top w:val="single" w:sz="4" w:space="0" w:color="000000"/>
              <w:left w:val="single" w:sz="4" w:space="0" w:color="000000"/>
              <w:bottom w:val="single" w:sz="4" w:space="0" w:color="000000"/>
              <w:right w:val="single" w:sz="4"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PREÇO (cm/col)</w:t>
            </w:r>
          </w:p>
        </w:tc>
        <w:tc>
          <w:tcPr>
            <w:tcW w:w="1133" w:type="dxa"/>
            <w:tcBorders>
              <w:top w:val="single" w:sz="8" w:space="0" w:color="000000"/>
              <w:left w:val="single" w:sz="4" w:space="0" w:color="000000"/>
              <w:bottom w:val="single" w:sz="8" w:space="0" w:color="000000"/>
              <w:right w:val="single" w:sz="8"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PREÇO ESTIMADO UNITÁRIO (5cmx2col)</w:t>
            </w:r>
          </w:p>
        </w:tc>
        <w:tc>
          <w:tcPr>
            <w:tcW w:w="1276" w:type="dxa"/>
            <w:tcBorders>
              <w:top w:val="single" w:sz="8" w:space="0" w:color="000000"/>
              <w:bottom w:val="single" w:sz="8" w:space="0" w:color="000000"/>
              <w:right w:val="single" w:sz="8"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 xml:space="preserve">PREÇO </w:t>
            </w:r>
          </w:p>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ESTIMADO</w:t>
            </w:r>
          </w:p>
          <w:p>
            <w:pPr>
              <w:pStyle w:val="Normal"/>
              <w:widowControl w:val="false"/>
              <w:spacing w:lineRule="auto" w:line="240" w:before="0" w:after="0"/>
              <w:jc w:val="center"/>
              <w:rPr>
                <w:lang w:val="pt-BR"/>
              </w:rPr>
            </w:pPr>
            <w:bookmarkStart w:id="1" w:name="_Hlk128582997"/>
            <w:r>
              <w:rPr>
                <w:rFonts w:eastAsia="Times New Roman" w:cs="Arial" w:ascii="Arial" w:hAnsi="Arial"/>
                <w:b/>
                <w:bCs/>
                <w:color w:val="000000"/>
                <w:sz w:val="18"/>
                <w:szCs w:val="18"/>
                <w:lang w:val="pt-BR" w:eastAsia="pt-BR"/>
              </w:rPr>
              <w:t>TOTAL</w:t>
            </w:r>
            <w:bookmarkEnd w:id="1"/>
          </w:p>
        </w:tc>
      </w:tr>
      <w:tr>
        <w:trPr>
          <w:trHeight w:val="567" w:hRule="atLeast"/>
        </w:trPr>
        <w:tc>
          <w:tcPr>
            <w:tcW w:w="569"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1</w:t>
            </w:r>
          </w:p>
        </w:tc>
        <w:tc>
          <w:tcPr>
            <w:tcW w:w="52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lang w:val="pt-BR"/>
              </w:rPr>
            </w:pPr>
            <w:r>
              <w:rPr>
                <w:rFonts w:eastAsia="Times New Roman" w:cs="Arial" w:ascii="Arial" w:hAnsi="Arial"/>
                <w:color w:val="000000"/>
                <w:sz w:val="18"/>
                <w:szCs w:val="18"/>
                <w:lang w:val="pt-BR" w:eastAsia="pt-BR"/>
              </w:rPr>
              <w:t>108</w:t>
            </w:r>
          </w:p>
        </w:tc>
        <w:tc>
          <w:tcPr>
            <w:tcW w:w="102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lang w:val="pt-BR"/>
              </w:rPr>
            </w:pPr>
            <w:r>
              <w:rPr>
                <w:rFonts w:eastAsia="Times New Roman" w:cs="Arial" w:ascii="Arial" w:hAnsi="Arial"/>
                <w:color w:val="000000"/>
                <w:sz w:val="18"/>
                <w:szCs w:val="18"/>
                <w:lang w:val="pt-BR" w:eastAsia="pt-BR"/>
              </w:rPr>
              <w:t>Publicação</w:t>
            </w:r>
          </w:p>
        </w:tc>
        <w:tc>
          <w:tcPr>
            <w:tcW w:w="3691" w:type="dxa"/>
            <w:tcBorders>
              <w:bottom w:val="single" w:sz="8" w:space="0" w:color="000000"/>
              <w:right w:val="single" w:sz="4" w:space="0" w:color="000000"/>
            </w:tcBorders>
            <w:shd w:color="auto" w:fill="auto" w:val="clear"/>
            <w:vAlign w:val="center"/>
          </w:tcPr>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Publicação de extrato de edital de licitação em jornal diário de grande circulação no território catarinense, em formato exclusivamente digital, que atenda ao disposto no art. 54, § 1º, da Lei Federal n. 14.133/2021.</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Unidade de medida: cm/col (centímetro de coluna), sendo o número de colunas para a publicação: 2 (duas); col: 4,8cm ± 0,2cm; e o cm variável para cada publicação, com uma média apenas referencial (não vinculativa) de 5cm.</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Fonte: Times New Roman ou Arial.</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Corpo do texto: 6 (seis).</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 xml:space="preserve">Corpo do título: 12 (doze). </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Alinhamento do texto: justificado.</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Alinhamento do título: centralizado.</w:t>
            </w:r>
          </w:p>
          <w:p>
            <w:pPr>
              <w:pStyle w:val="Normal"/>
              <w:widowControl w:val="false"/>
              <w:spacing w:lineRule="auto" w:line="240" w:before="0" w:after="0"/>
              <w:jc w:val="both"/>
              <w:rPr>
                <w:lang w:val="pt-BR"/>
              </w:rPr>
            </w:pPr>
            <w:r>
              <w:rPr>
                <w:rFonts w:eastAsia="Times New Roman" w:cs="Arial" w:ascii="Arial" w:hAnsi="Arial"/>
                <w:color w:val="000000"/>
                <w:sz w:val="18"/>
                <w:szCs w:val="18"/>
                <w:lang w:val="pt-BR" w:eastAsia="pt-BR"/>
              </w:rPr>
              <w:t>Entrelinhamento: espaço simples.</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lang w:val="pt-BR"/>
              </w:rPr>
            </w:pPr>
            <w:r>
              <w:rPr>
                <w:rFonts w:eastAsia="Times New Roman" w:cs="Arial" w:ascii="Arial" w:hAnsi="Arial"/>
                <w:color w:val="000000"/>
                <w:sz w:val="18"/>
                <w:szCs w:val="18"/>
                <w:lang w:val="pt-BR" w:eastAsia="pt-BR"/>
              </w:rPr>
              <w:t>R$ 20,00</w:t>
            </w:r>
          </w:p>
        </w:tc>
        <w:tc>
          <w:tcPr>
            <w:tcW w:w="1133" w:type="dxa"/>
            <w:tcBorders>
              <w:left w:val="single" w:sz="4" w:space="0" w:color="000000"/>
              <w:bottom w:val="single" w:sz="8" w:space="0" w:color="000000"/>
              <w:right w:val="single" w:sz="8" w:space="0" w:color="000000"/>
            </w:tcBorders>
            <w:vAlign w:val="center"/>
          </w:tcPr>
          <w:p>
            <w:pPr>
              <w:pStyle w:val="Normal"/>
              <w:widowControl w:val="false"/>
              <w:spacing w:lineRule="auto" w:line="240" w:before="0" w:after="0"/>
              <w:rPr>
                <w:lang w:val="pt-BR"/>
              </w:rPr>
            </w:pPr>
            <w:r>
              <w:rPr>
                <w:rFonts w:eastAsia="Times New Roman" w:cs="Arial" w:ascii="Arial" w:hAnsi="Arial"/>
                <w:color w:val="000000"/>
                <w:sz w:val="18"/>
                <w:szCs w:val="18"/>
                <w:lang w:val="pt-BR" w:eastAsia="pt-BR"/>
              </w:rPr>
              <w:t>R$ 200,00</w:t>
            </w:r>
          </w:p>
        </w:tc>
        <w:tc>
          <w:tcPr>
            <w:tcW w:w="1276" w:type="dxa"/>
            <w:tcBorders>
              <w:bottom w:val="single" w:sz="8" w:space="0" w:color="000000"/>
              <w:right w:val="single" w:sz="8" w:space="0" w:color="000000"/>
            </w:tcBorders>
            <w:vAlign w:val="center"/>
          </w:tcPr>
          <w:p>
            <w:pPr>
              <w:pStyle w:val="Normal"/>
              <w:widowControl w:val="false"/>
              <w:spacing w:lineRule="auto" w:line="240" w:before="0" w:after="0"/>
              <w:rPr>
                <w:lang w:val="pt-BR"/>
              </w:rPr>
            </w:pPr>
            <w:r>
              <w:rPr>
                <w:rFonts w:eastAsia="Times New Roman" w:cs="Arial" w:ascii="Arial" w:hAnsi="Arial"/>
                <w:color w:val="000000"/>
                <w:sz w:val="18"/>
                <w:szCs w:val="18"/>
                <w:lang w:val="pt-BR" w:eastAsia="pt-BR"/>
              </w:rPr>
              <w:t>R$ 21.600,00</w:t>
            </w:r>
          </w:p>
        </w:tc>
      </w:tr>
      <w:tr>
        <w:trPr>
          <w:trHeight w:val="567" w:hRule="atLeast"/>
        </w:trPr>
        <w:tc>
          <w:tcPr>
            <w:tcW w:w="5802" w:type="dxa"/>
            <w:gridSpan w:val="4"/>
            <w:tcBorders>
              <w:top w:val="single" w:sz="4" w:space="0" w:color="000000"/>
            </w:tcBorders>
            <w:shd w:color="auto" w:fill="auto" w:val="clear"/>
            <w:vAlign w:val="center"/>
          </w:tcPr>
          <w:p>
            <w:pPr>
              <w:pStyle w:val="Normal"/>
              <w:widowControl w:val="false"/>
              <w:spacing w:lineRule="auto" w:line="240" w:before="0" w:after="0"/>
              <w:jc w:val="both"/>
              <w:rPr>
                <w:rFonts w:ascii="Arial" w:hAnsi="Arial" w:eastAsia="Times New Roman" w:cs="Arial"/>
                <w:color w:val="000000"/>
                <w:sz w:val="18"/>
                <w:szCs w:val="18"/>
                <w:highlight w:val="yellow"/>
                <w:lang w:val="pt-BR" w:eastAsia="pt-BR"/>
              </w:rPr>
            </w:pPr>
            <w:r>
              <w:rPr>
                <w:rFonts w:eastAsia="Times New Roman" w:cs="Arial" w:ascii="Arial" w:hAnsi="Arial"/>
                <w:color w:val="000000"/>
                <w:sz w:val="18"/>
                <w:szCs w:val="18"/>
                <w:highlight w:val="yellow"/>
                <w:lang w:val="pt-BR" w:eastAsia="pt-BR"/>
              </w:rPr>
            </w:r>
          </w:p>
        </w:tc>
        <w:tc>
          <w:tcPr>
            <w:tcW w:w="851" w:type="dxa"/>
            <w:tcBorders>
              <w:top w:val="single" w:sz="4" w:space="0" w:color="000000"/>
              <w:right w:val="single" w:sz="4" w:space="0" w:color="000000"/>
            </w:tcBorders>
          </w:tcPr>
          <w:p>
            <w:pPr>
              <w:pStyle w:val="Normal"/>
              <w:widowControl w:val="false"/>
              <w:spacing w:lineRule="auto" w:line="240" w:before="0" w:after="0"/>
              <w:jc w:val="center"/>
              <w:rPr>
                <w:rFonts w:ascii="Arial" w:hAnsi="Arial" w:eastAsia="Times New Roman" w:cs="Arial"/>
                <w:b/>
                <w:b/>
                <w:bCs/>
                <w:color w:val="000000"/>
                <w:sz w:val="18"/>
                <w:szCs w:val="18"/>
                <w:lang w:val="pt-BR" w:eastAsia="pt-BR"/>
              </w:rPr>
            </w:pPr>
            <w:r>
              <w:rPr>
                <w:rFonts w:eastAsia="Times New Roman" w:cs="Arial" w:ascii="Arial" w:hAnsi="Arial"/>
                <w:b/>
                <w:bCs/>
                <w:color w:val="000000"/>
                <w:sz w:val="18"/>
                <w:szCs w:val="18"/>
                <w:lang w:val="pt-BR" w:eastAsia="pt-BR"/>
              </w:rPr>
            </w:r>
          </w:p>
        </w:tc>
        <w:tc>
          <w:tcPr>
            <w:tcW w:w="1133" w:type="dxa"/>
            <w:tcBorders>
              <w:top w:val="single" w:sz="8" w:space="0" w:color="000000"/>
              <w:left w:val="single" w:sz="4" w:space="0" w:color="000000"/>
              <w:bottom w:val="single" w:sz="8" w:space="0" w:color="000000"/>
              <w:right w:val="single" w:sz="8" w:space="0" w:color="000000"/>
            </w:tcBorders>
            <w:shd w:color="000000" w:fill="969696" w:val="clear"/>
            <w:vAlign w:val="center"/>
          </w:tcPr>
          <w:p>
            <w:pPr>
              <w:pStyle w:val="Normal"/>
              <w:widowControl w:val="false"/>
              <w:spacing w:lineRule="auto" w:line="240" w:before="0" w:after="0"/>
              <w:jc w:val="center"/>
              <w:rPr>
                <w:lang w:val="pt-BR"/>
              </w:rPr>
            </w:pPr>
            <w:r>
              <w:rPr>
                <w:rFonts w:eastAsia="Times New Roman" w:cs="Arial" w:ascii="Arial" w:hAnsi="Arial"/>
                <w:b/>
                <w:bCs/>
                <w:color w:val="000000"/>
                <w:sz w:val="18"/>
                <w:szCs w:val="18"/>
                <w:lang w:val="pt-BR" w:eastAsia="pt-BR"/>
              </w:rPr>
              <w:t>VALOR TOTAL DA CONTR.</w:t>
            </w:r>
          </w:p>
        </w:tc>
        <w:tc>
          <w:tcPr>
            <w:tcW w:w="1276" w:type="dxa"/>
            <w:tcBorders>
              <w:top w:val="single" w:sz="8" w:space="0" w:color="000000"/>
              <w:bottom w:val="single" w:sz="8" w:space="0" w:color="000000"/>
              <w:right w:val="single" w:sz="8" w:space="0" w:color="000000"/>
            </w:tcBorders>
            <w:vAlign w:val="center"/>
          </w:tcPr>
          <w:p>
            <w:pPr>
              <w:pStyle w:val="Normal"/>
              <w:widowControl w:val="false"/>
              <w:spacing w:lineRule="auto" w:line="240" w:before="0" w:after="0"/>
              <w:rPr>
                <w:lang w:val="pt-BR"/>
              </w:rPr>
            </w:pPr>
            <w:bookmarkStart w:id="2" w:name="_Hlk141098965"/>
            <w:r>
              <w:rPr>
                <w:rFonts w:eastAsia="Times New Roman" w:cs="Arial" w:ascii="Arial" w:hAnsi="Arial"/>
                <w:color w:val="000000"/>
                <w:sz w:val="18"/>
                <w:szCs w:val="18"/>
                <w:lang w:val="pt-BR" w:eastAsia="pt-BR"/>
              </w:rPr>
              <w:t>R$</w:t>
            </w:r>
            <w:bookmarkEnd w:id="2"/>
            <w:r>
              <w:rPr>
                <w:rFonts w:eastAsia="Times New Roman" w:cs="Arial" w:ascii="Arial" w:hAnsi="Arial"/>
                <w:color w:val="000000"/>
                <w:sz w:val="18"/>
                <w:szCs w:val="18"/>
                <w:lang w:val="pt-BR" w:eastAsia="pt-BR"/>
              </w:rPr>
              <w:t xml:space="preserve"> 21.600,00</w:t>
            </w:r>
          </w:p>
        </w:tc>
      </w:tr>
    </w:tbl>
    <w:p>
      <w:pPr>
        <w:pStyle w:val="Normal"/>
        <w:spacing w:lineRule="auto" w:line="360" w:before="0" w:after="0"/>
        <w:ind w:left="1134" w:hanging="0"/>
        <w:jc w:val="both"/>
        <w:rPr>
          <w:lang w:val="pt-BR"/>
        </w:rPr>
      </w:pPr>
      <w:r>
        <w:rPr>
          <w:lang w:val="pt-BR"/>
        </w:rPr>
      </w:r>
    </w:p>
    <w:p>
      <w:pPr>
        <w:pStyle w:val="Normal"/>
        <w:spacing w:lineRule="auto" w:line="360" w:before="0" w:after="0"/>
        <w:ind w:left="567" w:hanging="0"/>
        <w:jc w:val="both"/>
        <w:rPr>
          <w:lang w:val="pt-BR"/>
        </w:rPr>
      </w:pPr>
      <w:r>
        <w:rPr>
          <w:rFonts w:ascii="Arial" w:hAnsi="Arial"/>
          <w:sz w:val="21"/>
          <w:szCs w:val="21"/>
          <w:lang w:val="pt-BR"/>
        </w:rPr>
        <w:t xml:space="preserve">O centímetro de coluna efetivamente contratado será variável, a depender do montante de caracteres em cada publicação. Assim, </w:t>
      </w:r>
      <w:r>
        <w:rPr>
          <w:rFonts w:ascii="Arial" w:hAnsi="Arial"/>
          <w:sz w:val="21"/>
          <w:szCs w:val="21"/>
          <w:u w:val="single"/>
          <w:lang w:val="pt-BR"/>
        </w:rPr>
        <w:t>para uso exclusivo e obrigatório no cálculo do valor total da proposta</w:t>
      </w:r>
      <w:r>
        <w:rPr>
          <w:rFonts w:ascii="Arial" w:hAnsi="Arial"/>
          <w:sz w:val="21"/>
          <w:szCs w:val="21"/>
          <w:lang w:val="pt-BR"/>
        </w:rPr>
        <w:t>, deverá ser estimado que cada uma das 108 publicações previstas terá em média 5 cm de altura e ocupe duas colunas.</w:t>
      </w:r>
    </w:p>
    <w:p>
      <w:pPr>
        <w:pStyle w:val="Normal"/>
        <w:spacing w:lineRule="auto" w:line="360" w:before="0" w:after="0"/>
        <w:ind w:left="567" w:hanging="0"/>
        <w:jc w:val="both"/>
        <w:rPr>
          <w:lang w:val="pt-BR"/>
        </w:rPr>
      </w:pPr>
      <w:r>
        <w:rPr>
          <w:rFonts w:ascii="Arial" w:hAnsi="Arial"/>
          <w:sz w:val="21"/>
          <w:szCs w:val="21"/>
          <w:lang w:val="pt-BR"/>
        </w:rPr>
        <w:t xml:space="preserve">O valor total da proposta, portanto, será calculado da seguinte forma: 108 publicações x 2 colunas x 5 cm x (valor unitário do em “R$ por cm/col”). Por exemplo, caso o valor unitário cobrado seja de R$ 20,00 por cm/col, o valor total da proposta será de 108x2x5xR$20,00, ou seja, R$ </w:t>
      </w:r>
      <w:r>
        <w:rPr>
          <w:rFonts w:ascii="Arial" w:hAnsi="Arial"/>
          <w:sz w:val="21"/>
          <w:szCs w:val="21"/>
          <w:shd w:fill="auto" w:val="clear"/>
          <w:lang w:val="pt-BR"/>
        </w:rPr>
        <w:t>21.600,00.</w:t>
      </w:r>
    </w:p>
    <w:p>
      <w:pPr>
        <w:pStyle w:val="Normal"/>
        <w:spacing w:lineRule="auto" w:line="360" w:before="0" w:after="0"/>
        <w:ind w:left="567" w:hanging="0"/>
        <w:jc w:val="both"/>
        <w:rPr>
          <w:lang w:val="pt-BR"/>
        </w:rPr>
      </w:pPr>
      <w:r>
        <w:rPr>
          <w:rFonts w:ascii="Arial" w:hAnsi="Arial"/>
          <w:sz w:val="21"/>
          <w:szCs w:val="21"/>
          <w:lang w:val="pt-BR"/>
        </w:rPr>
        <w:t xml:space="preserve">Exclusivamente para auxílio na elaboração das propostas – as quais deverão ser valoradas com valor unitário em “R$ por cm/col”, encaminha-se </w:t>
      </w:r>
      <w:r>
        <w:rPr>
          <w:rFonts w:ascii="Arial" w:hAnsi="Arial"/>
          <w:sz w:val="21"/>
          <w:szCs w:val="21"/>
          <w:lang w:val="pt-BR"/>
        </w:rPr>
        <w:t xml:space="preserve">abaixo, </w:t>
      </w:r>
      <w:r>
        <w:rPr>
          <w:rFonts w:ascii="Arial" w:hAnsi="Arial"/>
          <w:sz w:val="21"/>
          <w:szCs w:val="21"/>
          <w:lang w:val="pt-BR"/>
        </w:rPr>
        <w:t>o exemplo de uma publicação legal ordinária do Município de Lindoia do Sul:</w:t>
      </w:r>
    </w:p>
    <w:p>
      <w:pPr>
        <w:pStyle w:val="Normal"/>
        <w:spacing w:lineRule="auto" w:line="360" w:before="0" w:after="0"/>
        <w:ind w:left="3629" w:hanging="0"/>
        <w:jc w:val="both"/>
        <w:rPr>
          <w:rFonts w:ascii="Arial" w:hAnsi="Arial" w:eastAsia="Times New Roman" w:cs="Arial"/>
          <w:b/>
          <w:b/>
          <w:sz w:val="21"/>
          <w:szCs w:val="21"/>
          <w:lang w:val="pt-BR" w:eastAsia="pt-BR"/>
        </w:rPr>
      </w:pPr>
      <w:r>
        <w:rPr>
          <w:rFonts w:eastAsia="Times New Roman" w:cs="Arial" w:ascii="Arial" w:hAnsi="Arial"/>
          <w:b/>
          <w:sz w:val="21"/>
          <w:szCs w:val="21"/>
          <w:lang w:val="pt-BR" w:eastAsia="pt-BR"/>
        </w:rPr>
      </w:r>
    </w:p>
    <w:p>
      <w:pPr>
        <w:pStyle w:val="Corpodotexto"/>
        <w:spacing w:lineRule="auto" w:line="360" w:before="0" w:after="0"/>
        <w:ind w:left="0" w:right="-1" w:hanging="0"/>
        <w:jc w:val="left"/>
        <w:rPr>
          <w:lang w:val="pt-BR"/>
        </w:rPr>
      </w:pPr>
      <w:r>
        <w:rPr>
          <w:rFonts w:cs="Arial" w:ascii="Arial" w:hAnsi="Arial"/>
          <w:b/>
          <w:color w:val="000000"/>
          <w:sz w:val="21"/>
          <w:szCs w:val="21"/>
          <w:u w:val="single"/>
          <w:lang w:val="pt-BR"/>
        </w:rPr>
        <w:t>MUNICÍPIO DE LINDÓIA DO SUL-SC</w:t>
      </w:r>
    </w:p>
    <w:p>
      <w:pPr>
        <w:pStyle w:val="Normal"/>
        <w:keepNext w:val="true"/>
        <w:widowControl w:val="false"/>
        <w:numPr>
          <w:ilvl w:val="0"/>
          <w:numId w:val="0"/>
        </w:numPr>
        <w:tabs>
          <w:tab w:val="clear" w:pos="708"/>
          <w:tab w:val="left" w:pos="0" w:leader="none"/>
        </w:tabs>
        <w:spacing w:lineRule="auto" w:line="360"/>
        <w:ind w:left="0" w:right="-1" w:hanging="0"/>
        <w:jc w:val="left"/>
        <w:outlineLvl w:val="0"/>
        <w:rPr>
          <w:lang w:val="pt-BR"/>
        </w:rPr>
      </w:pPr>
      <w:r>
        <w:rPr>
          <w:rFonts w:eastAsia="Times New Roman" w:cs="Arial" w:ascii="Arial" w:hAnsi="Arial"/>
          <w:b/>
          <w:bCs/>
          <w:sz w:val="21"/>
          <w:szCs w:val="21"/>
          <w:u w:val="single"/>
          <w:lang w:val="pt-BR" w:bidi="ar-SA"/>
        </w:rPr>
        <w:t xml:space="preserve">EDITAL DE </w:t>
      </w:r>
      <w:r>
        <w:rPr>
          <w:rFonts w:cs="Arial" w:ascii="Arial" w:hAnsi="Arial"/>
          <w:b/>
          <w:color w:val="000000"/>
          <w:sz w:val="21"/>
          <w:szCs w:val="21"/>
          <w:u w:val="single"/>
          <w:lang w:val="pt-BR"/>
        </w:rPr>
        <w:t xml:space="preserve">PREGÃO ELETRÔNICO </w:t>
      </w:r>
      <w:r>
        <w:rPr>
          <w:rFonts w:eastAsia="Times New Roman" w:cs="Arial" w:ascii="Arial" w:hAnsi="Arial"/>
          <w:b/>
          <w:bCs/>
          <w:sz w:val="21"/>
          <w:szCs w:val="21"/>
          <w:u w:val="single"/>
          <w:lang w:val="pt-BR" w:bidi="ar-SA"/>
        </w:rPr>
        <w:t>N° XX/2024   PROCESSO LICITATÓRIO XX/2024</w:t>
      </w:r>
    </w:p>
    <w:p>
      <w:pPr>
        <w:pStyle w:val="Normal"/>
        <w:keepNext w:val="true"/>
        <w:widowControl w:val="false"/>
        <w:numPr>
          <w:ilvl w:val="0"/>
          <w:numId w:val="0"/>
        </w:numPr>
        <w:tabs>
          <w:tab w:val="clear" w:pos="708"/>
          <w:tab w:val="left" w:pos="0" w:leader="none"/>
        </w:tabs>
        <w:spacing w:lineRule="auto" w:line="360"/>
        <w:ind w:left="0" w:right="-1" w:hanging="0"/>
        <w:jc w:val="left"/>
        <w:outlineLvl w:val="0"/>
        <w:rPr>
          <w:lang w:val="pt-BR"/>
        </w:rPr>
      </w:pPr>
      <w:r>
        <w:rPr>
          <w:rFonts w:eastAsia="Times New Roman" w:cs="Arial" w:ascii="Arial" w:hAnsi="Arial"/>
          <w:b/>
          <w:bCs/>
          <w:sz w:val="21"/>
          <w:szCs w:val="21"/>
          <w:u w:val="single"/>
          <w:lang w:val="pt-BR" w:bidi="ar-SA"/>
        </w:rPr>
        <w:t>Código TCE: xxxxxxxxxxxxxxxxxxxxxxxxxxxxxxxxxxxxxxxxxxxx</w:t>
      </w:r>
    </w:p>
    <w:p>
      <w:pPr>
        <w:pStyle w:val="Normal"/>
        <w:tabs>
          <w:tab w:val="clear" w:pos="708"/>
          <w:tab w:val="left" w:pos="9015" w:leader="none"/>
        </w:tabs>
        <w:spacing w:lineRule="auto" w:line="360"/>
        <w:ind w:left="0" w:right="-1" w:hanging="0"/>
        <w:jc w:val="left"/>
        <w:rPr>
          <w:lang w:val="pt-BR"/>
        </w:rPr>
      </w:pPr>
      <w:r>
        <w:rPr>
          <w:rFonts w:cs="Arial" w:ascii="Arial" w:hAnsi="Arial"/>
          <w:b/>
          <w:sz w:val="21"/>
          <w:szCs w:val="21"/>
          <w:lang w:val="pt-BR"/>
        </w:rPr>
        <w:t xml:space="preserve">Objeto: </w:t>
      </w:r>
      <w:r>
        <w:rPr>
          <w:rFonts w:cs="Arial" w:ascii="Arial" w:hAnsi="Arial"/>
          <w:b w:val="false"/>
          <w:bCs w:val="false"/>
          <w:sz w:val="21"/>
          <w:szCs w:val="21"/>
          <w:lang w:val="pt-BR"/>
        </w:rPr>
        <w:t>A</w:t>
      </w:r>
      <w:r>
        <w:rPr>
          <w:rFonts w:eastAsia="Times New Roman" w:cs="Arial" w:ascii="Arial" w:hAnsi="Arial"/>
          <w:b w:val="false"/>
          <w:bCs w:val="false"/>
          <w:color w:val="000000"/>
          <w:kern w:val="0"/>
          <w:sz w:val="21"/>
          <w:szCs w:val="21"/>
          <w:lang w:val="pt-BR" w:bidi="hi-IN"/>
        </w:rPr>
        <w:t>quisição de materiais xxxxxxxxxxxxxxxxxxxxxxxxxxxxxxxxxxxxxxxxxxxxxxxxxxxxxxxxxxxxxxxxxxxxxxxxxxxxxxxxxxxxxxxxxxxxxxxxxxxxxxxxxxxxxxxxxxxxxxxxxxxxxxxxxxxxxxxxxxxxxxxxxxxxxxxxxxxxxxxxxxxxxxxxxxxx</w:t>
      </w:r>
    </w:p>
    <w:p>
      <w:pPr>
        <w:pStyle w:val="Normal"/>
        <w:tabs>
          <w:tab w:val="clear" w:pos="708"/>
          <w:tab w:val="left" w:pos="9015" w:leader="none"/>
        </w:tabs>
        <w:spacing w:lineRule="auto" w:line="360"/>
        <w:ind w:left="0" w:right="-1" w:hanging="0"/>
        <w:jc w:val="left"/>
        <w:rPr>
          <w:lang w:val="pt-BR"/>
        </w:rPr>
      </w:pPr>
      <w:r>
        <w:rPr>
          <w:rFonts w:cs="Arial" w:ascii="Arial" w:hAnsi="Arial"/>
          <w:color w:val="000000"/>
          <w:sz w:val="21"/>
          <w:szCs w:val="21"/>
          <w:lang w:val="pt-BR"/>
        </w:rPr>
        <w:t xml:space="preserve">Modalidade: Pregão Eletrônico. Tipo: Menor Preço por Item. </w:t>
      </w:r>
    </w:p>
    <w:p>
      <w:pPr>
        <w:pStyle w:val="Corpodotexto"/>
        <w:spacing w:lineRule="auto" w:line="360"/>
        <w:ind w:left="0" w:right="-1" w:hanging="0"/>
        <w:jc w:val="left"/>
        <w:rPr/>
      </w:pPr>
      <w:r>
        <w:rPr>
          <w:rFonts w:cs="Arial" w:ascii="Arial" w:hAnsi="Arial"/>
          <w:sz w:val="21"/>
          <w:szCs w:val="21"/>
          <w:lang w:val="pt-BR"/>
        </w:rPr>
        <w:t xml:space="preserve">Recebimento das propostas até: as 08h30min do dia XX/XX/202x, através do site </w:t>
      </w:r>
      <w:hyperlink r:id="rId2">
        <w:r>
          <w:rPr>
            <w:rStyle w:val="LinkdaInternet"/>
            <w:rFonts w:cs="Arial" w:ascii="Arial" w:hAnsi="Arial"/>
            <w:sz w:val="21"/>
            <w:szCs w:val="21"/>
            <w:lang w:val="pt-BR"/>
          </w:rPr>
          <w:t>www.portaldecompraspublicas.com.br</w:t>
        </w:r>
      </w:hyperlink>
      <w:r>
        <w:rPr>
          <w:rFonts w:cs="Arial" w:ascii="Arial" w:hAnsi="Arial"/>
          <w:sz w:val="21"/>
          <w:szCs w:val="21"/>
          <w:lang w:val="pt-BR"/>
        </w:rPr>
        <w:t xml:space="preserve">, Abertura: dia XX/XX/202x, as 08h31min. Informações complementares: O edital na integra esta a disposição dos interessados nas home page </w:t>
      </w:r>
      <w:hyperlink r:id="rId3">
        <w:r>
          <w:rPr>
            <w:rStyle w:val="LinkdaInternet"/>
            <w:rFonts w:cs="Arial" w:ascii="Arial" w:hAnsi="Arial"/>
            <w:sz w:val="21"/>
            <w:szCs w:val="21"/>
            <w:lang w:val="pt-BR" w:bidi="hi-IN"/>
          </w:rPr>
          <w:t>www.lindoiadosul.sc.gov.br</w:t>
        </w:r>
      </w:hyperlink>
      <w:r>
        <w:rPr>
          <w:rFonts w:cs="Arial" w:ascii="Arial" w:hAnsi="Arial"/>
          <w:sz w:val="21"/>
          <w:szCs w:val="21"/>
          <w:lang w:val="pt-BR"/>
        </w:rPr>
        <w:t xml:space="preserve"> e </w:t>
      </w:r>
      <w:hyperlink r:id="rId4">
        <w:r>
          <w:rPr>
            <w:rStyle w:val="LinkdaInternet"/>
            <w:rFonts w:cs="Arial" w:ascii="Arial" w:hAnsi="Arial"/>
            <w:sz w:val="21"/>
            <w:szCs w:val="21"/>
            <w:lang w:val="pt-BR"/>
          </w:rPr>
          <w:t>www.portaldecompraspublicas.com.br</w:t>
        </w:r>
      </w:hyperlink>
    </w:p>
    <w:p>
      <w:pPr>
        <w:pStyle w:val="Corpodotexto"/>
        <w:spacing w:lineRule="auto" w:line="360" w:before="0" w:after="0"/>
        <w:ind w:left="0" w:right="-1" w:hanging="0"/>
        <w:jc w:val="left"/>
        <w:rPr>
          <w:lang w:val="pt-BR"/>
        </w:rPr>
      </w:pPr>
      <w:r>
        <w:rPr>
          <w:rFonts w:cs="Arial" w:ascii="Arial" w:hAnsi="Arial"/>
          <w:b w:val="false"/>
          <w:bCs w:val="false"/>
          <w:color w:val="000000"/>
          <w:sz w:val="21"/>
          <w:szCs w:val="21"/>
          <w:lang w:val="pt-BR"/>
        </w:rPr>
        <w:t>Lindóia do Sul - SC, XX de XXXXXXX de 2024.</w:t>
      </w:r>
    </w:p>
    <w:p>
      <w:pPr>
        <w:pStyle w:val="Corpodotexto"/>
        <w:spacing w:lineRule="auto" w:line="360" w:before="0" w:after="0"/>
        <w:ind w:left="0" w:right="-1" w:hanging="0"/>
        <w:jc w:val="left"/>
        <w:rPr>
          <w:lang w:val="pt-BR"/>
        </w:rPr>
      </w:pPr>
      <w:r>
        <w:rPr>
          <w:rFonts w:cs="Arial" w:ascii="Arial" w:hAnsi="Arial"/>
          <w:b w:val="false"/>
          <w:bCs w:val="false"/>
          <w:sz w:val="21"/>
          <w:szCs w:val="21"/>
          <w:lang w:val="pt-BR"/>
        </w:rPr>
        <w:t xml:space="preserve">Neudi Angelo Bertol - Prefeito de Lindóia do Sul </w:t>
      </w:r>
    </w:p>
    <w:p>
      <w:pPr>
        <w:pStyle w:val="Normal"/>
        <w:ind w:left="-567" w:right="0" w:hanging="0"/>
        <w:jc w:val="left"/>
        <w:rPr>
          <w:rFonts w:ascii="Arial" w:hAnsi="Arial" w:eastAsia="Times New Roman" w:cs="Arial"/>
          <w:b/>
          <w:b/>
          <w:sz w:val="21"/>
          <w:szCs w:val="21"/>
          <w:lang w:val="pt-BR" w:eastAsia="pt-BR"/>
        </w:rPr>
      </w:pPr>
      <w:r>
        <w:rPr>
          <w:rFonts w:eastAsia="Times New Roman" w:cs="Arial" w:ascii="Arial" w:hAnsi="Arial"/>
          <w:b/>
          <w:sz w:val="21"/>
          <w:szCs w:val="21"/>
          <w:lang w:val="pt-BR" w:eastAsia="pt-BR"/>
        </w:rPr>
      </w:r>
    </w:p>
    <w:p>
      <w:pPr>
        <w:pStyle w:val="Normal"/>
        <w:spacing w:lineRule="auto" w:line="360" w:before="0" w:after="0"/>
        <w:jc w:val="both"/>
        <w:rPr>
          <w:lang w:val="pt-BR"/>
        </w:rPr>
      </w:pPr>
      <w:r>
        <w:rPr>
          <w:rFonts w:ascii="Arial" w:hAnsi="Arial"/>
          <w:sz w:val="21"/>
          <w:szCs w:val="21"/>
          <w:lang w:val="pt-BR"/>
        </w:rPr>
        <w:t xml:space="preserve">1.3. Esta divulgação </w:t>
      </w:r>
      <w:r>
        <w:rPr>
          <w:rFonts w:ascii="Arial" w:hAnsi="Arial"/>
          <w:b/>
          <w:bCs/>
          <w:sz w:val="21"/>
          <w:szCs w:val="21"/>
          <w:u w:val="single"/>
          <w:lang w:val="pt-BR"/>
        </w:rPr>
        <w:t>não</w:t>
      </w:r>
      <w:r>
        <w:rPr>
          <w:rFonts w:ascii="Arial" w:hAnsi="Arial"/>
          <w:sz w:val="21"/>
          <w:szCs w:val="21"/>
          <w:lang w:val="pt-BR"/>
        </w:rPr>
        <w:t xml:space="preserve"> diz respeito à realização de licitação.</w:t>
      </w:r>
    </w:p>
    <w:p>
      <w:pPr>
        <w:pStyle w:val="Normal"/>
        <w:spacing w:lineRule="auto" w:line="360" w:before="0" w:after="0"/>
        <w:jc w:val="both"/>
        <w:rPr>
          <w:lang w:val="pt-BR"/>
        </w:rPr>
      </w:pPr>
      <w:r>
        <w:rPr>
          <w:lang w:val="pt-BR"/>
        </w:rPr>
      </w:r>
    </w:p>
    <w:p>
      <w:pPr>
        <w:pStyle w:val="Normal"/>
        <w:spacing w:lineRule="auto" w:line="360" w:before="0" w:after="0"/>
        <w:jc w:val="both"/>
        <w:rPr>
          <w:lang w:val="pt-BR"/>
        </w:rPr>
      </w:pPr>
      <w:r>
        <w:rPr>
          <w:rFonts w:ascii="Arial" w:hAnsi="Arial"/>
          <w:sz w:val="21"/>
          <w:szCs w:val="21"/>
          <w:lang w:val="pt-BR"/>
        </w:rPr>
        <w:t xml:space="preserve">1.4. </w:t>
      </w:r>
      <w:r>
        <w:rPr>
          <w:rFonts w:cs="Arial" w:ascii="Arial" w:hAnsi="Arial"/>
          <w:sz w:val="21"/>
          <w:szCs w:val="21"/>
          <w:lang w:val="pt-BR"/>
        </w:rPr>
        <w:t>Os quantitativos foram mensurados conforme demanda interna do Município, calculada a partir do histórico de publicações realizadas de editais de licitação nos anos anteriores. Considerando, contudo, tratar-se de contratação em regime de empreitada por preço unitário, na qual o quantitativo total não obriga a administração a contratá-lo, estimando um quantitativo de 108 publicações no período de um ano.</w:t>
      </w:r>
    </w:p>
    <w:p>
      <w:pPr>
        <w:pStyle w:val="Normal"/>
        <w:spacing w:lineRule="auto" w:line="360" w:before="0" w:after="0"/>
        <w:jc w:val="center"/>
        <w:rPr>
          <w:rFonts w:ascii="Arial" w:hAnsi="Arial"/>
          <w:b/>
          <w:b/>
          <w:sz w:val="21"/>
          <w:szCs w:val="21"/>
          <w:lang w:val="pt-BR"/>
        </w:rPr>
      </w:pPr>
      <w:r>
        <w:rPr>
          <w:rFonts w:ascii="Arial" w:hAnsi="Arial"/>
          <w:b/>
          <w:sz w:val="21"/>
          <w:szCs w:val="21"/>
          <w:lang w:val="pt-BR"/>
        </w:rPr>
      </w:r>
    </w:p>
    <w:p>
      <w:pPr>
        <w:pStyle w:val="Normal"/>
        <w:spacing w:lineRule="auto" w:line="360" w:before="0" w:after="0"/>
        <w:jc w:val="center"/>
        <w:rPr>
          <w:lang w:val="pt-BR"/>
        </w:rPr>
      </w:pPr>
      <w:r>
        <w:rPr>
          <w:rFonts w:ascii="Arial" w:hAnsi="Arial"/>
          <w:b/>
          <w:sz w:val="21"/>
          <w:szCs w:val="21"/>
          <w:lang w:val="pt-BR"/>
        </w:rPr>
        <w:t xml:space="preserve">II – DO PRAZO </w:t>
      </w:r>
      <w:r>
        <w:rPr>
          <w:rFonts w:ascii="Arial" w:hAnsi="Arial"/>
          <w:b/>
          <w:sz w:val="21"/>
          <w:szCs w:val="21"/>
          <w:lang w:val="pt-BR"/>
        </w:rPr>
        <w:t>DA DIVULGAÇÃO</w:t>
      </w:r>
    </w:p>
    <w:p>
      <w:pPr>
        <w:pStyle w:val="Normal"/>
        <w:spacing w:lineRule="auto" w:line="360" w:before="0" w:after="0"/>
        <w:jc w:val="both"/>
        <w:rPr>
          <w:rFonts w:ascii="Arial" w:hAnsi="Arial"/>
          <w:bCs/>
          <w:sz w:val="21"/>
          <w:szCs w:val="21"/>
          <w:lang w:val="pt-BR"/>
        </w:rPr>
      </w:pPr>
      <w:r>
        <w:rPr>
          <w:rFonts w:ascii="Arial" w:hAnsi="Arial"/>
          <w:bCs/>
          <w:sz w:val="21"/>
          <w:szCs w:val="21"/>
          <w:lang w:val="pt-BR"/>
        </w:rPr>
      </w:r>
    </w:p>
    <w:p>
      <w:pPr>
        <w:pStyle w:val="Normal"/>
        <w:spacing w:lineRule="auto" w:line="360" w:before="0" w:after="0"/>
        <w:jc w:val="both"/>
        <w:rPr>
          <w:lang w:val="pt-BR"/>
        </w:rPr>
      </w:pPr>
      <w:r>
        <w:rPr>
          <w:rFonts w:ascii="Arial" w:hAnsi="Arial"/>
          <w:bCs/>
          <w:sz w:val="21"/>
          <w:szCs w:val="21"/>
          <w:lang w:val="pt-BR"/>
        </w:rPr>
        <w:t xml:space="preserve">2.1. O prazo para apresentação de propostas adicionais pelos eventuais interessados inicia em </w:t>
      </w:r>
      <w:r>
        <w:rPr>
          <w:rFonts w:ascii="Arial" w:hAnsi="Arial"/>
          <w:bCs/>
          <w:sz w:val="21"/>
          <w:szCs w:val="21"/>
          <w:lang w:val="pt-BR"/>
        </w:rPr>
        <w:t>16</w:t>
      </w:r>
      <w:r>
        <w:rPr>
          <w:rFonts w:ascii="Arial" w:hAnsi="Arial"/>
          <w:bCs/>
          <w:sz w:val="21"/>
          <w:szCs w:val="21"/>
          <w:lang w:val="pt-BR"/>
        </w:rPr>
        <w:t xml:space="preserve"> de fevereiro de 2024 e encerra em </w:t>
      </w:r>
      <w:r>
        <w:rPr>
          <w:rFonts w:ascii="Arial" w:hAnsi="Arial"/>
          <w:bCs/>
          <w:sz w:val="21"/>
          <w:szCs w:val="21"/>
          <w:lang w:val="pt-BR"/>
        </w:rPr>
        <w:t>21</w:t>
      </w:r>
      <w:r>
        <w:rPr>
          <w:rFonts w:ascii="Arial" w:hAnsi="Arial"/>
          <w:bCs/>
          <w:sz w:val="21"/>
          <w:szCs w:val="21"/>
          <w:lang w:val="pt-BR"/>
        </w:rPr>
        <w:t xml:space="preserve"> de fevereiro de 2024.</w:t>
      </w:r>
    </w:p>
    <w:p>
      <w:pPr>
        <w:pStyle w:val="Normal"/>
        <w:spacing w:lineRule="auto" w:line="360" w:before="0" w:after="0"/>
        <w:jc w:val="both"/>
        <w:rPr>
          <w:lang w:val="pt-BR"/>
        </w:rPr>
      </w:pPr>
      <w:r>
        <w:rPr>
          <w:lang w:val="pt-BR"/>
        </w:rPr>
      </w:r>
    </w:p>
    <w:p>
      <w:pPr>
        <w:pStyle w:val="Normal"/>
        <w:spacing w:lineRule="auto" w:line="360" w:before="0" w:after="0"/>
        <w:jc w:val="center"/>
        <w:rPr>
          <w:lang w:val="pt-BR"/>
        </w:rPr>
      </w:pPr>
      <w:r>
        <w:rPr>
          <w:rFonts w:ascii="Arial" w:hAnsi="Arial"/>
          <w:b/>
          <w:sz w:val="21"/>
          <w:szCs w:val="21"/>
          <w:lang w:val="pt-BR"/>
        </w:rPr>
        <w:t>III – DO PROCEDIMENTO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pPr>
      <w:r>
        <w:rPr>
          <w:rFonts w:ascii="Arial" w:hAnsi="Arial"/>
          <w:sz w:val="21"/>
          <w:szCs w:val="21"/>
          <w:lang w:val="pt-BR"/>
        </w:rPr>
        <w:t xml:space="preserve">3.1. Os eventuais interessados deverão encaminhar suas propostas para o endereço eletrônico </w:t>
      </w:r>
      <w:r>
        <w:rPr>
          <w:rStyle w:val="LinkdaInternet"/>
          <w:rFonts w:ascii="Arial" w:hAnsi="Arial"/>
          <w:sz w:val="21"/>
          <w:szCs w:val="21"/>
          <w:lang w:val="pt-BR"/>
        </w:rPr>
        <w:t>licita@lindoiadosul.sc.gov.br</w:t>
      </w:r>
      <w:r>
        <w:rPr>
          <w:rFonts w:ascii="Arial" w:hAnsi="Arial"/>
          <w:sz w:val="21"/>
          <w:szCs w:val="21"/>
          <w:lang w:val="pt-BR"/>
        </w:rPr>
        <w:t xml:space="preserve"> no prazo supracitado, as quais observarão o disposto a seguir:</w:t>
      </w:r>
    </w:p>
    <w:p>
      <w:pPr>
        <w:pStyle w:val="Normal"/>
        <w:spacing w:lineRule="auto" w:line="360" w:before="0" w:after="0"/>
        <w:ind w:left="567" w:hanging="0"/>
        <w:jc w:val="both"/>
        <w:rPr>
          <w:lang w:val="pt-BR"/>
        </w:rPr>
      </w:pPr>
      <w:r>
        <w:rPr>
          <w:rFonts w:ascii="Arial" w:hAnsi="Arial"/>
          <w:sz w:val="21"/>
          <w:szCs w:val="21"/>
          <w:lang w:val="pt-BR"/>
        </w:rPr>
        <w:t xml:space="preserve">a) conter o nome do proponente, endereço, identificação (individual ou social), o nº do CNPJ e da Inscrição Estadual, número de telefone, e e-mail; </w:t>
      </w:r>
    </w:p>
    <w:p>
      <w:pPr>
        <w:pStyle w:val="Normal"/>
        <w:spacing w:lineRule="auto" w:line="360" w:before="0" w:after="0"/>
        <w:ind w:left="567" w:hanging="0"/>
        <w:jc w:val="both"/>
        <w:rPr>
          <w:lang w:val="pt-BR"/>
        </w:rPr>
      </w:pPr>
      <w:r>
        <w:rPr>
          <w:rFonts w:ascii="Arial" w:hAnsi="Arial"/>
          <w:sz w:val="21"/>
          <w:szCs w:val="21"/>
          <w:lang w:val="pt-BR"/>
        </w:rPr>
        <w:t xml:space="preserve">b) suas folhas devem estar datadas, assinadas e rubricadas pelo seu representante legal, podendo ser de forma digital, desde que atendidos os requisitos legais; </w:t>
      </w:r>
    </w:p>
    <w:p>
      <w:pPr>
        <w:pStyle w:val="Normal"/>
        <w:spacing w:lineRule="auto" w:line="360" w:before="0" w:after="0"/>
        <w:ind w:left="567" w:hanging="0"/>
        <w:jc w:val="both"/>
        <w:rPr>
          <w:lang w:val="pt-BR"/>
        </w:rPr>
      </w:pPr>
      <w:r>
        <w:rPr>
          <w:rFonts w:ascii="Arial" w:hAnsi="Arial"/>
          <w:sz w:val="21"/>
          <w:szCs w:val="21"/>
          <w:lang w:val="pt-BR"/>
        </w:rPr>
        <w:t xml:space="preserve">c) nos preços propostos deverão estar incluídos todos os custos diretos e indiretos necessários à perfeita execução do objeto, composição do BDI, entregas, encargos sociais e inclusive as despesas com materiais e/ou equipamentos fornecidos, mão de obra especializada ou não, fretes, seguros em geral, equipamentos auxiliares, ferramentas, encargos da Legislação Tributária, Social, Trabalhista e Previdenciária, da infortunística do trabalho e responsabilidade civil por quaisquer danos causados a terceiros ou dispêndios resultantes de impostos, taxas, regulamentos e posturas municipais, estaduais e federais, enfim, tudo o que for necessário para a execução total e completa do objeto desta licitação; </w:t>
      </w:r>
    </w:p>
    <w:p>
      <w:pPr>
        <w:pStyle w:val="Normal"/>
        <w:spacing w:lineRule="auto" w:line="360" w:before="0" w:after="0"/>
        <w:ind w:left="567" w:hanging="0"/>
        <w:jc w:val="both"/>
        <w:rPr>
          <w:lang w:val="pt-BR"/>
        </w:rPr>
      </w:pPr>
      <w:r>
        <w:rPr>
          <w:rFonts w:ascii="Arial" w:hAnsi="Arial"/>
          <w:sz w:val="21"/>
          <w:szCs w:val="21"/>
          <w:lang w:val="pt-BR"/>
        </w:rPr>
        <w:t xml:space="preserve">d) o prazo de validade da proposta de preços que não poderá ser inferior a 30 (trinta) dias, contados da abertura do prazo para envio; </w:t>
      </w:r>
    </w:p>
    <w:p>
      <w:pPr>
        <w:pStyle w:val="Normal"/>
        <w:spacing w:lineRule="auto" w:line="360" w:before="0" w:after="0"/>
        <w:ind w:left="567" w:hanging="0"/>
        <w:jc w:val="both"/>
        <w:rPr>
          <w:lang w:val="pt-BR"/>
        </w:rPr>
      </w:pPr>
      <w:r>
        <w:rPr>
          <w:rFonts w:ascii="Arial" w:hAnsi="Arial"/>
          <w:sz w:val="21"/>
          <w:szCs w:val="21"/>
          <w:lang w:val="pt-BR"/>
        </w:rPr>
        <w:t xml:space="preserve">e) conter valor unitário e valor total com a quantidade estimada, </w:t>
      </w:r>
      <w:r>
        <w:rPr>
          <w:rFonts w:ascii="Arial" w:hAnsi="Arial"/>
          <w:sz w:val="21"/>
          <w:szCs w:val="21"/>
          <w:lang w:val="pt-BR"/>
        </w:rPr>
        <w:t>o valor total deverá constar também por extenso</w:t>
      </w:r>
      <w:r>
        <w:rPr>
          <w:rFonts w:ascii="Arial" w:hAnsi="Arial"/>
          <w:sz w:val="21"/>
          <w:szCs w:val="21"/>
          <w:lang w:val="pt-BR"/>
        </w:rPr>
        <w:t xml:space="preserve">; </w:t>
      </w:r>
    </w:p>
    <w:p>
      <w:pPr>
        <w:pStyle w:val="Normal"/>
        <w:spacing w:lineRule="auto" w:line="360" w:before="0" w:after="0"/>
        <w:ind w:left="567" w:hanging="0"/>
        <w:jc w:val="both"/>
        <w:rPr>
          <w:lang w:val="pt-BR"/>
        </w:rPr>
      </w:pPr>
      <w:r>
        <w:rPr>
          <w:rFonts w:ascii="Arial" w:hAnsi="Arial"/>
          <w:sz w:val="21"/>
          <w:szCs w:val="21"/>
          <w:lang w:val="pt-BR"/>
        </w:rPr>
        <w:t>f) conter discriminados em moeda corrente nacional os preços dos itens limitados a 02 (duas) casas decimais para os centavos; e</w:t>
      </w:r>
    </w:p>
    <w:p>
      <w:pPr>
        <w:pStyle w:val="Normal"/>
        <w:spacing w:lineRule="auto" w:line="360" w:before="0" w:after="0"/>
        <w:ind w:left="567" w:hanging="0"/>
        <w:jc w:val="both"/>
        <w:rPr>
          <w:lang w:val="pt-BR"/>
        </w:rPr>
      </w:pPr>
      <w:r>
        <w:rPr>
          <w:rFonts w:ascii="Arial" w:hAnsi="Arial"/>
          <w:sz w:val="21"/>
          <w:szCs w:val="21"/>
          <w:lang w:val="pt-BR"/>
        </w:rPr>
        <w:t>g) especificação completa do produto oferecido de acordo com as apresentadas na Proposta Eletrônica com informações técnicas que possibilitem a sua completa avaliação, totalmente e estritamente conforme descrito acima.</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3.2. O eventual interessado, ao enviar sua proposta, declara compreender que não está participando de uma licitação, mas fornecendo proposta adicional para a aferição, por parte da Administração, da vantajosidade da escolha a ser contratada em processo de dispensa de licitação.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3.3. O prosseguimento do processo de contratação direta já iniciado não é condicionado à apresentação de propostas, podendo ser realizada a contratação mesmo que o prazo transcorra </w:t>
      </w:r>
      <w:r>
        <w:rPr>
          <w:rFonts w:ascii="Arial" w:hAnsi="Arial"/>
          <w:i/>
          <w:iCs/>
          <w:sz w:val="21"/>
          <w:szCs w:val="21"/>
          <w:lang w:val="pt-BR"/>
        </w:rPr>
        <w:t>in albis</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3.4. A seleção da contratada não estará restrita àqueles que encaminharem suas propostas, podendo a Administração selecionar a proposta de terceiro alheio a este procedimento.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3.5. A divulgação da proposta selecionada como mais vantajosa far-se-á junto ao teor da autorização da autoridade competente, a qual fará a indicação da pessoa a ser contratada, nos termos do art. 72, inciso VIII e parágrafo único, da Lei Federal n. 14.133/2021.</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3.6. Dúvidas ou esclarecimentos poderão ser solicitadas através do endereço eletrônico supracitado.</w:t>
      </w:r>
    </w:p>
    <w:p>
      <w:pPr>
        <w:pStyle w:val="Normal"/>
        <w:spacing w:lineRule="auto" w:line="360" w:before="0" w:after="0"/>
        <w:jc w:val="both"/>
        <w:rPr>
          <w:lang w:val="pt-BR"/>
        </w:rPr>
      </w:pPr>
      <w:r>
        <w:rPr>
          <w:lang w:val="pt-BR"/>
        </w:rPr>
      </w:r>
    </w:p>
    <w:p>
      <w:pPr>
        <w:pStyle w:val="Normal"/>
        <w:spacing w:lineRule="auto" w:line="360" w:before="0" w:after="0"/>
        <w:jc w:val="center"/>
        <w:rPr>
          <w:b/>
          <w:b/>
          <w:bCs/>
          <w:lang w:val="pt-BR"/>
        </w:rPr>
      </w:pPr>
      <w:r>
        <w:rPr>
          <w:rFonts w:ascii="Arial" w:hAnsi="Arial"/>
          <w:b/>
          <w:bCs/>
          <w:sz w:val="21"/>
          <w:szCs w:val="21"/>
          <w:lang w:val="pt-BR"/>
        </w:rPr>
        <w:t>IV – DOS DOCUMENTOS A SEREM APRESENTADOS PELA FUTURA CONTRATADA</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rFonts w:ascii="Arial" w:hAnsi="Arial"/>
          <w:sz w:val="21"/>
          <w:szCs w:val="21"/>
          <w:lang w:val="pt-BR"/>
        </w:rPr>
      </w:pPr>
      <w:r>
        <w:rPr>
          <w:rFonts w:ascii="Arial" w:hAnsi="Arial"/>
          <w:sz w:val="21"/>
          <w:szCs w:val="21"/>
          <w:lang w:val="pt-BR"/>
        </w:rPr>
        <w:t>4.1. Após decisão da autoridade competente, a futura contratada deverá apresentar ao Município os seguintes documentos:</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Conjunta Negativa (ou Positiva com Efeitos de Negativa) de Débitos Relativos a Tributos Federais e à Dívida Ativa da União e de contribuições sociais;</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 xml:space="preserve">Certidão Negativa (ou Positiva com Efeitos de Negativa) de Débitos Estaduais </w:t>
      </w:r>
      <w:r>
        <w:rPr>
          <w:rFonts w:cs="Arial" w:ascii="Arial" w:hAnsi="Arial"/>
          <w:color w:val="000000"/>
          <w:sz w:val="21"/>
          <w:szCs w:val="21"/>
          <w:lang w:val="pt-BR" w:eastAsia="ar-SA"/>
        </w:rPr>
        <w:t>relativo ao Estado sede do proponente</w:t>
      </w:r>
      <w:r>
        <w:rPr>
          <w:rFonts w:cs="Arial" w:ascii="Arial" w:hAnsi="Arial"/>
          <w:color w:val="000000"/>
          <w:sz w:val="21"/>
          <w:szCs w:val="21"/>
          <w:lang w:val="pt-BR" w:eastAsia="ar-SA"/>
        </w:rPr>
        <w:t>;</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 xml:space="preserve">Certidão Negativa (ou Positiva com Efeitos de Negativa) de Débitos Municipais, relativa ao Município da sede do </w:t>
      </w:r>
      <w:r>
        <w:rPr>
          <w:rFonts w:cs="Arial" w:ascii="Arial" w:hAnsi="Arial"/>
          <w:color w:val="000000"/>
          <w:sz w:val="21"/>
          <w:szCs w:val="21"/>
          <w:lang w:val="pt-BR" w:eastAsia="ar-SA"/>
        </w:rPr>
        <w:t>proponente</w:t>
      </w:r>
      <w:r>
        <w:rPr>
          <w:rFonts w:cs="Arial" w:ascii="Arial" w:hAnsi="Arial"/>
          <w:color w:val="000000"/>
          <w:sz w:val="21"/>
          <w:szCs w:val="21"/>
          <w:lang w:val="pt-BR" w:eastAsia="ar-SA"/>
        </w:rPr>
        <w:t>;</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Prova de regularidade relativa ao Fundo de Garantia por Tempo de Serviço (CRF do FGTS), demonstrando situação regular no cumprimento dos encargos sociais, instituídos por Lei;</w:t>
      </w:r>
    </w:p>
    <w:p>
      <w:pPr>
        <w:pStyle w:val="Normal"/>
        <w:numPr>
          <w:ilvl w:val="0"/>
          <w:numId w:val="1"/>
        </w:numPr>
        <w:suppressAutoHyphens w:val="false"/>
        <w:spacing w:lineRule="auto" w:line="360" w:before="0" w:after="120"/>
        <w:ind w:left="967" w:right="-2" w:hanging="283"/>
        <w:jc w:val="both"/>
        <w:rPr>
          <w:lang w:val="pt-BR"/>
        </w:rPr>
      </w:pPr>
      <w:r>
        <w:rPr>
          <w:rFonts w:eastAsia="Calibri" w:cs="Arial" w:ascii="Arial" w:hAnsi="Arial"/>
          <w:kern w:val="0"/>
          <w:sz w:val="21"/>
          <w:szCs w:val="21"/>
          <w:lang w:val="pt-BR" w:eastAsia="pt-BR"/>
        </w:rPr>
        <w:t>Prova de inexistência de débitos inadimplentes perante a Justiça do Trabalho, mediante a apresentação de Certidão Negativa de Débitos Trabalhistas (CNDT), instituída pela Lei nº 12.440 de 07 de julho de 2011;</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color w:val="000000"/>
          <w:sz w:val="21"/>
          <w:szCs w:val="21"/>
          <w:lang w:val="pt-BR" w:eastAsia="ar-SA"/>
        </w:rPr>
        <w:t>Certidão Negativa de Falência e Concordata, expedida por distribuidor da sede do licitante; (ATENÇÃO: para os Estados em que se aplica, deverão apresentar a certidão emitida através do sistema SAJ</w:t>
      </w:r>
      <w:r>
        <w:rPr>
          <w:rFonts w:cs="Arial" w:ascii="Arial" w:hAnsi="Arial"/>
          <w:b w:val="false"/>
          <w:bCs w:val="false"/>
          <w:sz w:val="21"/>
          <w:szCs w:val="21"/>
          <w:lang w:val="pt-BR" w:eastAsia="ar-SA"/>
        </w:rPr>
        <w:t>,</w:t>
      </w:r>
      <w:r>
        <w:rPr>
          <w:rFonts w:cs="Arial" w:ascii="Arial" w:hAnsi="Arial"/>
          <w:b w:val="false"/>
          <w:bCs w:val="false"/>
          <w:color w:val="000000"/>
          <w:sz w:val="21"/>
          <w:szCs w:val="21"/>
          <w:lang w:val="pt-BR" w:eastAsia="ar-SA"/>
        </w:rPr>
        <w:t xml:space="preserve"> juntamente com a respectiva certidão de registros cadastrados no sistema eproc</w:t>
      </w:r>
      <w:r>
        <w:rPr>
          <w:rFonts w:cs="Arial" w:ascii="Arial" w:hAnsi="Arial"/>
          <w:b w:val="false"/>
          <w:bCs w:val="false"/>
          <w:sz w:val="21"/>
          <w:szCs w:val="21"/>
          <w:lang w:val="pt-BR" w:eastAsia="ar-SA"/>
        </w:rPr>
        <w:t>);</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sz w:val="21"/>
          <w:szCs w:val="21"/>
          <w:lang w:val="pt-BR"/>
        </w:rPr>
        <w:t xml:space="preserve">Relatório de consulta negativa (contendo Razão Social e CNPJ) junto ao Cadastro Nacional das Empresas Inidôneas e Suspensas – CEIS, através do endereço eletrônico </w:t>
      </w:r>
      <w:r>
        <w:rPr>
          <w:rStyle w:val="LinkdaInternet"/>
          <w:rFonts w:cs="Arial" w:ascii="Arial" w:hAnsi="Arial"/>
          <w:b w:val="false"/>
          <w:bCs w:val="false"/>
          <w:sz w:val="21"/>
          <w:szCs w:val="21"/>
          <w:lang w:val="pt-BR"/>
        </w:rPr>
        <w:t>https://portaldatransparencia.gov.br/sancoes/consulta?ordenarPor=nomeSancionado&amp;direcao=asc</w:t>
      </w:r>
      <w:r>
        <w:rPr>
          <w:rFonts w:cs="Arial" w:ascii="Arial" w:hAnsi="Arial"/>
          <w:b w:val="false"/>
          <w:bCs w:val="false"/>
          <w:sz w:val="21"/>
          <w:szCs w:val="21"/>
          <w:lang w:val="pt-BR"/>
        </w:rPr>
        <w:t xml:space="preserve">,  emitido nos últimos 10 (dez) dias; </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sz w:val="21"/>
          <w:szCs w:val="21"/>
          <w:lang w:val="pt-BR"/>
        </w:rPr>
        <w:t xml:space="preserve">Certidões Negativa de Licitante Inidôneos, em nome da empresa licitante (CNPJ) e do sócio majoritário (CPF), emitida através do endereço eletrônico </w:t>
      </w:r>
      <w:hyperlink r:id="rId5">
        <w:r>
          <w:rPr>
            <w:rStyle w:val="LinkdaInternet"/>
            <w:rFonts w:cs="Arial" w:ascii="Arial" w:hAnsi="Arial"/>
            <w:b w:val="false"/>
            <w:bCs w:val="false"/>
            <w:sz w:val="21"/>
            <w:szCs w:val="21"/>
            <w:lang w:val="pt-BR"/>
          </w:rPr>
          <w:t>https://contas.tcu.gov.br/ords/f?p=704144:3:101016560152123::NO:3,4,6</w:t>
        </w:r>
      </w:hyperlink>
      <w:r>
        <w:rPr>
          <w:rStyle w:val="LinkdaInternet"/>
          <w:rFonts w:cs="Arial" w:ascii="Arial" w:hAnsi="Arial"/>
          <w:b w:val="false"/>
          <w:bCs w:val="false"/>
          <w:sz w:val="21"/>
          <w:szCs w:val="21"/>
          <w:lang w:val="pt-BR"/>
        </w:rPr>
        <w:t>::</w:t>
      </w:r>
    </w:p>
    <w:p>
      <w:pPr>
        <w:pStyle w:val="PargrafodaLista"/>
        <w:widowControl w:val="false"/>
        <w:numPr>
          <w:ilvl w:val="0"/>
          <w:numId w:val="1"/>
        </w:numPr>
        <w:suppressAutoHyphens w:val="true"/>
        <w:bidi w:val="0"/>
        <w:spacing w:lineRule="auto" w:line="360" w:before="0" w:after="0"/>
        <w:ind w:left="964" w:right="0" w:hanging="283"/>
        <w:contextualSpacing/>
        <w:jc w:val="both"/>
        <w:rPr/>
      </w:pPr>
      <w:r>
        <w:rPr>
          <w:rStyle w:val="LinkdaInternet"/>
          <w:rFonts w:cs="Arial" w:ascii="Arial" w:hAnsi="Arial"/>
          <w:b w:val="false"/>
          <w:bCs w:val="false"/>
          <w:color w:val="auto"/>
          <w:sz w:val="21"/>
          <w:szCs w:val="21"/>
          <w:u w:val="none"/>
          <w:lang w:val="pt-BR" w:eastAsia="ar-SA"/>
        </w:rPr>
        <w:t>Cadastro Nacional de Condenações Cíveis por Atos de Improbidade Administrativa, mantido pelo Conselho Nacional de Justiça, em nome da empresa licitante (CNPJ) e do sócio majoritário (CPF), emitida através do endereço eletrônico</w:t>
      </w:r>
      <w:r>
        <w:rPr>
          <w:rStyle w:val="LinkdaInternet"/>
          <w:rFonts w:cs="Arial" w:ascii="Arial" w:hAnsi="Arial"/>
          <w:b w:val="false"/>
          <w:bCs w:val="false"/>
          <w:sz w:val="21"/>
          <w:szCs w:val="21"/>
          <w:lang w:val="pt-BR" w:eastAsia="ar-SA"/>
        </w:rPr>
        <w:t xml:space="preserve"> (</w:t>
      </w:r>
      <w:hyperlink r:id="rId6">
        <w:r>
          <w:rPr>
            <w:rStyle w:val="LinkdaInternet"/>
            <w:rFonts w:eastAsia="Calibri" w:cs="Arial" w:ascii="Arial" w:hAnsi="Arial"/>
            <w:b w:val="false"/>
            <w:bCs w:val="false"/>
            <w:sz w:val="21"/>
            <w:szCs w:val="21"/>
            <w:lang w:val="pt-BR" w:eastAsia="ar-SA"/>
          </w:rPr>
          <w:t>www.cnj.jus.br/improbidade_adm/consultar_requerido.php</w:t>
        </w:r>
      </w:hyperlink>
      <w:r>
        <w:rPr>
          <w:rStyle w:val="LinkdaInternet"/>
          <w:rFonts w:cs="Arial" w:ascii="Arial" w:hAnsi="Arial"/>
          <w:b w:val="false"/>
          <w:bCs w:val="false"/>
          <w:sz w:val="21"/>
          <w:szCs w:val="21"/>
          <w:lang w:val="pt-BR" w:eastAsia="ar-SA"/>
        </w:rPr>
        <w:t xml:space="preserve">).  </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color w:val="000000"/>
          <w:kern w:val="0"/>
          <w:sz w:val="21"/>
          <w:szCs w:val="21"/>
          <w:lang w:val="pt-BR" w:eastAsia="pt-BR"/>
        </w:rPr>
        <w:t>Declaração de Atendimento à Legislação Trabalhista de Proteção à Criança e ao Adolescent</w:t>
      </w:r>
      <w:r>
        <w:rPr>
          <w:rFonts w:eastAsia="Times New Roman" w:cs="Arial" w:ascii="Arial" w:hAnsi="Arial"/>
          <w:b w:val="false"/>
          <w:bCs w:val="false"/>
          <w:color w:val="000000"/>
          <w:kern w:val="0"/>
          <w:sz w:val="21"/>
          <w:szCs w:val="21"/>
          <w:lang w:val="pt-BR" w:eastAsia="pt-BR"/>
        </w:rPr>
        <w:t>e, disposto no inciso XXXIII do art. 7º da Constituição Federal.</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b w:val="false"/>
          <w:bCs w:val="false"/>
          <w:color w:val="000000"/>
          <w:sz w:val="21"/>
          <w:szCs w:val="21"/>
          <w:lang w:val="pt-BR" w:eastAsia="ar-SA"/>
        </w:rPr>
        <w:t>Declaração de idoneidade.</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 xml:space="preserve">Declaração de inexistência de vínculo social e funcional, </w:t>
      </w:r>
      <w:r>
        <w:rPr>
          <w:rFonts w:eastAsia="Times New Roman" w:cs="Arial" w:ascii="Arial" w:hAnsi="Arial"/>
          <w:b w:val="false"/>
          <w:bCs w:val="false"/>
          <w:kern w:val="0"/>
          <w:sz w:val="21"/>
          <w:szCs w:val="21"/>
          <w:lang w:val="pt-BR" w:eastAsia="ar-SA"/>
        </w:rPr>
        <w:t>(Modelo específico)</w:t>
      </w:r>
      <w:r>
        <w:rPr>
          <w:rFonts w:eastAsia="Times New Roman" w:cs="Arial" w:ascii="Arial" w:hAnsi="Arial"/>
          <w:b w:val="false"/>
          <w:bCs w:val="false"/>
          <w:kern w:val="0"/>
          <w:sz w:val="21"/>
          <w:szCs w:val="21"/>
          <w:lang w:val="pt-BR" w:eastAsia="ar-SA"/>
        </w:rPr>
        <w:t>.</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que cumpre as exigências de reserva de cargos para pessoa com deficiência e para reabilitado da Previdência Social, previstas em lei e em outras normas específicas.</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que a proposta econômica compreende a integralidade dos custos para atendimento dos direitos trabalhistas assegurados na Constituição da República Federativa do Brasil, nas leis trabalhistas,nas normas infralegais, nas convenções coletivas de trabalho e nos termos de ajustamento de conduta vigentes na data de entrega das propostas, sob pena de desclassificação.</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que não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w:t>
      </w:r>
      <w:r>
        <w:rPr>
          <w:rFonts w:eastAsia="Times New Roman" w:cs="Arial" w:ascii="Arial" w:hAnsi="Arial"/>
          <w:b w:val="false"/>
          <w:bCs w:val="false"/>
          <w:kern w:val="0"/>
          <w:sz w:val="21"/>
          <w:szCs w:val="21"/>
          <w:lang w:val="pt-BR" w:eastAsia="ar-SA"/>
        </w:rPr>
        <w:t>eclaração de ausência de condenação judicial por exploração de trabalho infantil, por submissão de trabalhadores a condições análogas às de escravo ou por contratação de adolescentes nos casos vedados pela legislação trabalhista.</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Declaração de enquadramento </w:t>
      </w:r>
      <w:r>
        <w:rPr>
          <w:rFonts w:eastAsia="Times New Roman" w:cs="Arial" w:ascii="Arial" w:hAnsi="Arial"/>
          <w:b w:val="false"/>
          <w:bCs w:val="false"/>
          <w:kern w:val="0"/>
          <w:sz w:val="21"/>
          <w:szCs w:val="21"/>
          <w:lang w:val="pt-BR" w:eastAsia="ar-SA"/>
        </w:rPr>
        <w:t>de</w:t>
      </w:r>
      <w:r>
        <w:rPr>
          <w:rFonts w:eastAsia="Times New Roman" w:cs="Arial" w:ascii="Arial" w:hAnsi="Arial"/>
          <w:b w:val="false"/>
          <w:bCs w:val="false"/>
          <w:kern w:val="0"/>
          <w:sz w:val="21"/>
          <w:szCs w:val="21"/>
          <w:lang w:val="pt-BR" w:eastAsia="ar-SA"/>
        </w:rPr>
        <w:t xml:space="preserve"> Receita Bruta </w:t>
      </w:r>
      <w:r>
        <w:rPr>
          <w:rFonts w:eastAsia="Times New Roman" w:cs="Arial" w:ascii="Arial" w:hAnsi="Arial"/>
          <w:b w:val="false"/>
          <w:bCs w:val="false"/>
          <w:kern w:val="0"/>
          <w:sz w:val="21"/>
          <w:szCs w:val="21"/>
          <w:lang w:val="pt-BR" w:eastAsia="ar-SA"/>
        </w:rPr>
        <w:t>(</w:t>
      </w:r>
      <w:r>
        <w:rPr>
          <w:rFonts w:eastAsia="Times New Roman" w:cs="Arial" w:ascii="Arial" w:hAnsi="Arial"/>
          <w:b w:val="false"/>
          <w:bCs w:val="false"/>
          <w:kern w:val="0"/>
          <w:sz w:val="21"/>
          <w:szCs w:val="21"/>
          <w:lang w:val="pt-BR" w:eastAsia="ar-SA"/>
        </w:rPr>
        <w:t xml:space="preserve">para empresas de pequeno porte, </w:t>
      </w:r>
      <w:r>
        <w:rPr>
          <w:rFonts w:eastAsia="Times New Roman" w:cs="Arial" w:ascii="Arial" w:hAnsi="Arial"/>
          <w:b w:val="false"/>
          <w:bCs w:val="false"/>
          <w:kern w:val="0"/>
          <w:sz w:val="21"/>
          <w:szCs w:val="21"/>
          <w:lang w:val="pt-BR" w:eastAsia="ar-SA"/>
        </w:rPr>
        <w:t>de que não contrataram com a Administração Pública até o limite estabelecido em Lei).</w:t>
      </w:r>
    </w:p>
    <w:p>
      <w:pPr>
        <w:pStyle w:val="Normal"/>
        <w:spacing w:lineRule="auto" w:line="360" w:before="0" w:after="0"/>
        <w:jc w:val="right"/>
        <w:rPr>
          <w:rFonts w:ascii="Arial" w:hAnsi="Arial"/>
          <w:sz w:val="21"/>
          <w:szCs w:val="21"/>
          <w:lang w:val="pt-BR"/>
        </w:rPr>
      </w:pPr>
      <w:r>
        <w:rPr>
          <w:rFonts w:ascii="Arial" w:hAnsi="Arial"/>
          <w:sz w:val="21"/>
          <w:szCs w:val="21"/>
          <w:lang w:val="pt-BR"/>
        </w:rPr>
      </w:r>
    </w:p>
    <w:p>
      <w:pPr>
        <w:pStyle w:val="Normal"/>
        <w:suppressAutoHyphens w:val="true"/>
        <w:spacing w:lineRule="auto" w:line="360" w:before="0" w:after="0"/>
        <w:jc w:val="center"/>
        <w:rPr>
          <w:lang w:val="pt-BR"/>
        </w:rPr>
      </w:pPr>
      <w:r>
        <w:rPr>
          <w:rFonts w:cs="Arial" w:ascii="Arial" w:hAnsi="Arial"/>
          <w:b/>
          <w:sz w:val="21"/>
          <w:szCs w:val="21"/>
          <w:lang w:val="pt-BR"/>
        </w:rPr>
        <w:t>Munic</w:t>
      </w:r>
      <w:r>
        <w:rPr>
          <w:rFonts w:cs="Arial" w:ascii="Arial" w:hAnsi="Arial"/>
          <w:b/>
          <w:color w:val="000000"/>
          <w:sz w:val="21"/>
          <w:szCs w:val="21"/>
          <w:lang w:val="pt-BR"/>
        </w:rPr>
        <w:t xml:space="preserve">ípio de Lindoia do Sul, </w:t>
      </w:r>
      <w:r>
        <w:rPr>
          <w:rFonts w:cs="Arial" w:ascii="Arial" w:hAnsi="Arial"/>
          <w:b/>
          <w:color w:val="000000"/>
          <w:sz w:val="21"/>
          <w:szCs w:val="21"/>
          <w:lang w:val="pt-BR"/>
        </w:rPr>
        <w:t>16</w:t>
      </w:r>
      <w:r>
        <w:rPr>
          <w:rFonts w:cs="Arial" w:ascii="Arial" w:hAnsi="Arial"/>
          <w:b/>
          <w:color w:val="000000"/>
          <w:sz w:val="21"/>
          <w:szCs w:val="21"/>
          <w:lang w:val="pt-BR"/>
        </w:rPr>
        <w:t xml:space="preserve"> de fevereiro de 2024.</w:t>
      </w:r>
    </w:p>
    <w:p>
      <w:pPr>
        <w:pStyle w:val="Normal"/>
        <w:suppressAutoHyphens w:val="true"/>
        <w:spacing w:lineRule="auto" w:line="360" w:before="0" w:after="0"/>
        <w:jc w:val="center"/>
        <w:rPr>
          <w:rFonts w:ascii="Arial" w:hAnsi="Arial" w:cs="Arial"/>
          <w:b/>
          <w:b/>
          <w:color w:val="000000"/>
          <w:sz w:val="21"/>
          <w:szCs w:val="21"/>
          <w:lang w:val="pt-BR"/>
        </w:rPr>
      </w:pPr>
      <w:r>
        <w:rPr>
          <w:rFonts w:cs="Arial" w:ascii="Arial" w:hAnsi="Arial"/>
          <w:b/>
          <w:color w:val="000000"/>
          <w:sz w:val="21"/>
          <w:szCs w:val="21"/>
          <w:lang w:val="pt-BR"/>
        </w:rPr>
      </w:r>
    </w:p>
    <w:p>
      <w:pPr>
        <w:pStyle w:val="Normal"/>
        <w:suppressAutoHyphens w:val="true"/>
        <w:spacing w:lineRule="auto" w:line="360" w:before="0" w:after="0"/>
        <w:jc w:val="center"/>
        <w:rPr>
          <w:rFonts w:ascii="Arial" w:hAnsi="Arial" w:cs="Arial"/>
          <w:b/>
          <w:b/>
          <w:sz w:val="21"/>
          <w:szCs w:val="21"/>
          <w:lang w:val="pt-BR"/>
        </w:rPr>
      </w:pPr>
      <w:r>
        <w:rPr>
          <w:rFonts w:cs="Arial" w:ascii="Arial" w:hAnsi="Arial"/>
          <w:b/>
          <w:sz w:val="21"/>
          <w:szCs w:val="21"/>
          <w:lang w:val="pt-BR"/>
        </w:rPr>
      </w:r>
    </w:p>
    <w:p>
      <w:pPr>
        <w:pStyle w:val="Normal"/>
        <w:widowControl w:val="false"/>
        <w:tabs>
          <w:tab w:val="clear" w:pos="708"/>
          <w:tab w:val="left" w:pos="1701" w:leader="none"/>
        </w:tabs>
        <w:spacing w:lineRule="auto" w:line="360" w:before="0" w:after="0"/>
        <w:jc w:val="center"/>
        <w:textAlignment w:val="baseline"/>
        <w:rPr>
          <w:lang w:val="pt-BR"/>
        </w:rPr>
      </w:pPr>
      <w:r>
        <w:rPr>
          <w:rFonts w:eastAsia="Times New Roman" w:cs="Arial" w:ascii="Arial" w:hAnsi="Arial"/>
          <w:b/>
          <w:color w:val="000000"/>
          <w:sz w:val="21"/>
          <w:szCs w:val="21"/>
          <w:lang w:val="pt-BR" w:eastAsia="pt-BR"/>
        </w:rPr>
        <w:t>Neudi Angelo Bertol</w:t>
      </w:r>
    </w:p>
    <w:p>
      <w:pPr>
        <w:pStyle w:val="Normal"/>
        <w:widowControl w:val="false"/>
        <w:tabs>
          <w:tab w:val="clear" w:pos="708"/>
          <w:tab w:val="left" w:pos="1701" w:leader="none"/>
        </w:tabs>
        <w:spacing w:lineRule="auto" w:line="360" w:before="0" w:after="0"/>
        <w:jc w:val="center"/>
        <w:textAlignment w:val="baseline"/>
        <w:rPr>
          <w:lang w:val="pt-BR"/>
        </w:rPr>
      </w:pPr>
      <w:r>
        <w:rPr>
          <w:rFonts w:eastAsia="Times New Roman" w:cs="Arial" w:ascii="Arial" w:hAnsi="Arial"/>
          <w:b/>
          <w:color w:val="000000"/>
          <w:sz w:val="21"/>
          <w:szCs w:val="21"/>
          <w:lang w:val="pt-BR" w:eastAsia="pt-BR"/>
        </w:rPr>
        <w:t>Prefeito Municipal</w:t>
      </w:r>
    </w:p>
    <w:sectPr>
      <w:headerReference w:type="even" r:id="rId7"/>
      <w:headerReference w:type="default" r:id="rId8"/>
      <w:headerReference w:type="first" r:id="rId9"/>
      <w:footerReference w:type="default" r:id="rId10"/>
      <w:type w:val="nextPage"/>
      <w:pgSz w:w="11906" w:h="16838"/>
      <w:pgMar w:left="1701" w:right="1133" w:gutter="0" w:header="426" w:top="198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1418" w:hanging="283"/>
      <w:rPr/>
    </w:pPr>
    <w:r>
      <w:rPr/>
      <w:drawing>
        <wp:inline distT="0" distB="0" distL="0" distR="0">
          <wp:extent cx="6840855" cy="1225550"/>
          <wp:effectExtent l="0" t="0" r="0" b="0"/>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30" t="-140" r="-30" b="-140"/>
                  <a:stretch>
                    <a:fillRect/>
                  </a:stretch>
                </pic:blipFill>
                <pic:spPr bwMode="auto">
                  <a:xfrm>
                    <a:off x="0" y="0"/>
                    <a:ext cx="6840855" cy="12255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182485" cy="8892540"/>
          <wp:effectExtent l="0" t="0" r="0" b="0"/>
          <wp:wrapNone/>
          <wp:docPr id="1" name="WordPictureWatermark56988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6988954" descr=""/>
                  <pic:cNvPicPr>
                    <a:picLocks noChangeAspect="1" noChangeArrowheads="1"/>
                  </pic:cNvPicPr>
                </pic:nvPicPr>
                <pic:blipFill>
                  <a:blip r:embed="rId1"/>
                  <a:stretch>
                    <a:fillRect/>
                  </a:stretch>
                </pic:blipFill>
                <pic:spPr bwMode="auto">
                  <a:xfrm>
                    <a:off x="0" y="0"/>
                    <a:ext cx="7182485" cy="88925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08"/>
        </w:tabs>
        <w:ind w:left="993" w:hanging="283"/>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Tahoma" w:eastAsia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660c"/>
    <w:pPr>
      <w:widowControl/>
      <w:suppressAutoHyphens w:val="true"/>
      <w:bidi w:val="0"/>
      <w:spacing w:lineRule="auto" w:line="259" w:before="0" w:after="160"/>
      <w:jc w:val="left"/>
    </w:pPr>
    <w:rPr>
      <w:rFonts w:ascii="Tahoma" w:hAnsi="Tahoma" w:eastAsia="Calibri" w:cs="Tahoma" w:eastAsia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fb660c"/>
    <w:rPr/>
  </w:style>
  <w:style w:type="character" w:styleId="RodapChar" w:customStyle="1">
    <w:name w:val="Rodapé Char"/>
    <w:basedOn w:val="DefaultParagraphFont"/>
    <w:uiPriority w:val="99"/>
    <w:qFormat/>
    <w:rsid w:val="00fb660c"/>
    <w:rPr/>
  </w:style>
  <w:style w:type="character" w:styleId="TextodebaloChar" w:customStyle="1">
    <w:name w:val="Texto de balão Char"/>
    <w:basedOn w:val="DefaultParagraphFont"/>
    <w:link w:val="BalloonText"/>
    <w:uiPriority w:val="99"/>
    <w:semiHidden/>
    <w:qFormat/>
    <w:rsid w:val="007a6e59"/>
    <w:rPr>
      <w:rFonts w:ascii="Tahoma" w:hAnsi="Tahoma" w:cs="Tahoma"/>
      <w:sz w:val="16"/>
      <w:szCs w:val="16"/>
    </w:rPr>
  </w:style>
  <w:style w:type="character" w:styleId="RecuodecorpodetextoChar" w:customStyle="1">
    <w:name w:val="Recuo de corpo de texto Char"/>
    <w:basedOn w:val="DefaultParagraphFont"/>
    <w:qFormat/>
    <w:rsid w:val="007a6e59"/>
    <w:rPr>
      <w:rFonts w:ascii="Times New Roman" w:hAnsi="Times New Roman" w:eastAsia="Times New Roman" w:cs="Times New Roman"/>
      <w:sz w:val="24"/>
      <w:szCs w:val="24"/>
    </w:rPr>
  </w:style>
  <w:style w:type="character" w:styleId="CorpodetextoChar" w:customStyle="1">
    <w:name w:val="Corpo de texto Char"/>
    <w:basedOn w:val="DefaultParagraphFont"/>
    <w:uiPriority w:val="99"/>
    <w:semiHidden/>
    <w:qFormat/>
    <w:rsid w:val="003e1700"/>
    <w:rPr/>
  </w:style>
  <w:style w:type="character" w:styleId="Recuodecorpodetexto2Char" w:customStyle="1">
    <w:name w:val="Recuo de corpo de texto 2 Char"/>
    <w:basedOn w:val="DefaultParagraphFont"/>
    <w:link w:val="BodyTextIndent2"/>
    <w:qFormat/>
    <w:rsid w:val="003e1700"/>
    <w:rPr>
      <w:rFonts w:ascii="Times New Roman" w:hAnsi="Times New Roman" w:eastAsia="Times New Roman" w:cs="Times New Roman"/>
      <w:sz w:val="24"/>
      <w:szCs w:val="24"/>
      <w:lang w:eastAsia="pt-BR"/>
    </w:rPr>
  </w:style>
  <w:style w:type="character" w:styleId="LinkdaInternet">
    <w:name w:val="Hyperlink"/>
    <w:basedOn w:val="DefaultParagraphFont"/>
    <w:uiPriority w:val="99"/>
    <w:unhideWhenUsed/>
    <w:rsid w:val="006b6386"/>
    <w:rPr>
      <w:color w:val="0563C1" w:themeColor="hyperlink"/>
      <w:u w:val="single"/>
    </w:rPr>
  </w:style>
  <w:style w:type="character" w:styleId="UnresolvedMention">
    <w:name w:val="Unresolved Mention"/>
    <w:basedOn w:val="DefaultParagraphFont"/>
    <w:uiPriority w:val="99"/>
    <w:semiHidden/>
    <w:unhideWhenUsed/>
    <w:qFormat/>
    <w:rsid w:val="006b6386"/>
    <w:rPr>
      <w:color w:val="605E5C"/>
      <w:shd w:fill="E1DFDD" w:val="clear"/>
    </w:rPr>
  </w:style>
  <w:style w:type="character" w:styleId="SubtleEmphasis">
    <w:name w:val="Subtle Emphasis"/>
    <w:basedOn w:val="DefaultParagraphFont"/>
    <w:uiPriority w:val="19"/>
    <w:qFormat/>
    <w:rsid w:val="00e67296"/>
    <w:rPr>
      <w:i/>
      <w:iCs/>
      <w:color w:val="404040" w:themeColor="text1" w:themeTint="bf"/>
    </w:rPr>
  </w:style>
  <w:style w:type="character" w:styleId="Annotationreference">
    <w:name w:val="annotation reference"/>
    <w:basedOn w:val="DefaultParagraphFont"/>
    <w:uiPriority w:val="99"/>
    <w:semiHidden/>
    <w:unhideWhenUsed/>
    <w:qFormat/>
    <w:rsid w:val="00000a60"/>
    <w:rPr>
      <w:sz w:val="16"/>
      <w:szCs w:val="16"/>
    </w:rPr>
  </w:style>
  <w:style w:type="character" w:styleId="TextodecomentrioChar" w:customStyle="1">
    <w:name w:val="Texto de comentário Char"/>
    <w:basedOn w:val="DefaultParagraphFont"/>
    <w:link w:val="Annotationtext"/>
    <w:uiPriority w:val="99"/>
    <w:qFormat/>
    <w:rsid w:val="00000a60"/>
    <w:rPr>
      <w:sz w:val="20"/>
      <w:szCs w:val="20"/>
    </w:rPr>
  </w:style>
  <w:style w:type="character" w:styleId="AssuntodocomentrioChar" w:customStyle="1">
    <w:name w:val="Assunto do comentário Char"/>
    <w:basedOn w:val="TextodecomentrioChar"/>
    <w:link w:val="Annotationsubject"/>
    <w:uiPriority w:val="99"/>
    <w:semiHidden/>
    <w:qFormat/>
    <w:rsid w:val="00000a60"/>
    <w:rPr>
      <w:b/>
      <w:bCs/>
      <w:sz w:val="20"/>
      <w:szCs w:val="20"/>
    </w:rPr>
  </w:style>
  <w:style w:type="character" w:styleId="WW8Num12z0">
    <w:name w:val="WW8Num12z0"/>
    <w:qFormat/>
    <w:rPr>
      <w:b w:val="false"/>
    </w:rPr>
  </w:style>
  <w:style w:type="character" w:styleId="WW8Num3z0">
    <w:name w:val="WW8Num3z0"/>
    <w:qFormat/>
    <w:rPr>
      <w:b w:val="false"/>
    </w:rPr>
  </w:style>
  <w:style w:type="character" w:styleId="WW8Num10z0">
    <w:name w:val="WW8Num10z0"/>
    <w:qFormat/>
    <w:rPr>
      <w:b w:val="false"/>
    </w:rPr>
  </w:style>
  <w:style w:type="character" w:styleId="Linkdainternetvisitado">
    <w:name w:val="FollowedHyperlink"/>
    <w:rPr>
      <w:color w:val="954F72"/>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semiHidden/>
    <w:unhideWhenUsed/>
    <w:rsid w:val="003e1700"/>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b660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fb660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7a6e59"/>
    <w:pPr>
      <w:spacing w:lineRule="auto" w:line="240" w:before="0" w:after="0"/>
    </w:pPr>
    <w:rPr>
      <w:sz w:val="16"/>
      <w:szCs w:val="16"/>
    </w:rPr>
  </w:style>
  <w:style w:type="paragraph" w:styleId="Corpodotextorecuado">
    <w:name w:val="Body Text Indent"/>
    <w:basedOn w:val="Normal"/>
    <w:link w:val="RecuodecorpodetextoChar"/>
    <w:rsid w:val="007a6e59"/>
    <w:pPr>
      <w:spacing w:lineRule="auto" w:line="240" w:before="0" w:after="120"/>
      <w:ind w:left="283" w:hanging="0"/>
    </w:pPr>
    <w:rPr>
      <w:rFonts w:ascii="Times New Roman" w:hAnsi="Times New Roman" w:eastAsia="Times New Roman" w:cs="Times New Roman"/>
      <w:sz w:val="24"/>
      <w:szCs w:val="24"/>
    </w:rPr>
  </w:style>
  <w:style w:type="paragraph" w:styleId="P4" w:customStyle="1">
    <w:name w:val="p4"/>
    <w:basedOn w:val="Normal"/>
    <w:qFormat/>
    <w:rsid w:val="007a6e59"/>
    <w:pPr>
      <w:spacing w:lineRule="auto" w:line="240" w:beforeAutospacing="1" w:afterAutospacing="1"/>
    </w:pPr>
    <w:rPr>
      <w:rFonts w:ascii="Arial Unicode MS" w:hAnsi="Arial Unicode MS" w:eastAsia="Arial Unicode MS" w:cs="Arial Unicode MS"/>
      <w:sz w:val="24"/>
      <w:szCs w:val="24"/>
      <w:lang w:eastAsia="pt-BR"/>
    </w:rPr>
  </w:style>
  <w:style w:type="paragraph" w:styleId="BodyTextIndent2">
    <w:name w:val="Body Text Indent 2"/>
    <w:basedOn w:val="Normal"/>
    <w:link w:val="Recuodecorpodetexto2Char"/>
    <w:qFormat/>
    <w:rsid w:val="003e1700"/>
    <w:pPr>
      <w:spacing w:lineRule="auto" w:line="480" w:before="0" w:after="120"/>
      <w:ind w:left="283" w:hanging="0"/>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1791b"/>
    <w:pPr>
      <w:spacing w:before="0" w:after="160"/>
      <w:ind w:left="720" w:hanging="0"/>
      <w:contextualSpacing/>
    </w:pPr>
    <w:rPr/>
  </w:style>
  <w:style w:type="paragraph" w:styleId="Annotationtext">
    <w:name w:val="annotation text"/>
    <w:basedOn w:val="Normal"/>
    <w:link w:val="TextodecomentrioChar"/>
    <w:uiPriority w:val="99"/>
    <w:unhideWhenUsed/>
    <w:qFormat/>
    <w:rsid w:val="00000a60"/>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000a60"/>
    <w:pPr/>
    <w:rPr>
      <w:b/>
      <w:bCs/>
    </w:rPr>
  </w:style>
  <w:style w:type="paragraph" w:styleId="PargrafodaLista">
    <w:name w:val="Parágrafo da Lista"/>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12">
    <w:name w:val="WW8Num12"/>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ecompraspublicas.com.br/" TargetMode="External"/><Relationship Id="rId3" Type="http://schemas.openxmlformats.org/officeDocument/2006/relationships/hyperlink" Target="http://WWW.lindoiadosul.sc.gov.br/" TargetMode="External"/><Relationship Id="rId4" Type="http://schemas.openxmlformats.org/officeDocument/2006/relationships/hyperlink" Target="http://www.portaldecompraspublicas.com.br/" TargetMode="External"/><Relationship Id="rId5" Type="http://schemas.openxmlformats.org/officeDocument/2006/relationships/hyperlink" Target="https://contas.tcu.gov.br/ords/f?p=704144:3:101016560152123::NO:3,4,6" TargetMode="External"/><Relationship Id="rId6" Type="http://schemas.openxmlformats.org/officeDocument/2006/relationships/hyperlink" Target="http://www.cnj.jus.br/improbidade_adm/consultar_requerido.php"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35F2-7D7D-4585-8BA6-8353DA34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Application>LibreOffice/7.4.2.3$Windows_X86_64 LibreOffice_project/382eef1f22670f7f4118c8c2dd222ec7ad009daf</Application>
  <AppVersion>15.0000</AppVersion>
  <Pages>6</Pages>
  <Words>1613</Words>
  <Characters>9517</Characters>
  <CharactersWithSpaces>11050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2023-01-04T14:56:00Z</dcterms:created>
  <dc:creator>CIMCATARINA</dc:creator>
  <dc:description/>
  <dc:language>pt-BR</dc:language>
  <cp:lastModifiedBy/>
  <cp:lastPrinted>2023-06-21T17:47:00Z</cp:lastPrinted>
  <dcterms:modified xsi:type="dcterms:W3CDTF">2024-02-16T09:47:35Z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file>