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left"/>
        <w:rPr>
          <w:lang w:val="pt-BR"/>
        </w:rPr>
      </w:pPr>
      <w:r>
        <w:rPr>
          <w:rFonts w:ascii="Arial" w:hAnsi="Arial"/>
          <w:b/>
          <w:sz w:val="21"/>
          <w:szCs w:val="21"/>
          <w:lang w:val="pt-BR"/>
        </w:rPr>
        <w:t>PROCESSO LICITATÓRIO Nº 120/2024</w:t>
      </w:r>
    </w:p>
    <w:p>
      <w:pPr>
        <w:pStyle w:val="Normal"/>
        <w:spacing w:lineRule="auto" w:line="276" w:before="0" w:after="0"/>
        <w:jc w:val="left"/>
        <w:rPr>
          <w:lang w:val="pt-BR"/>
        </w:rPr>
      </w:pPr>
      <w:r>
        <w:rPr>
          <w:rFonts w:ascii="Arial" w:hAnsi="Arial"/>
          <w:b/>
          <w:sz w:val="21"/>
          <w:szCs w:val="21"/>
          <w:lang w:val="pt-BR"/>
        </w:rPr>
        <w:t>DISPENSA DE LICITAÇÃO Nº 74/2024</w:t>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lang w:val="pt-BR"/>
        </w:rPr>
      </w:pPr>
      <w:r>
        <w:rPr>
          <w:rFonts w:ascii="Arial" w:hAnsi="Arial"/>
          <w:b/>
          <w:sz w:val="21"/>
          <w:szCs w:val="21"/>
          <w:lang w:val="pt-BR"/>
        </w:rPr>
        <w:t>DIVULGAÇÃO DE DISPENSA DE LICITAÇÃO</w:t>
      </w:r>
    </w:p>
    <w:p>
      <w:pPr>
        <w:pStyle w:val="Normal"/>
        <w:spacing w:lineRule="auto" w:line="360" w:before="0" w:after="0"/>
        <w:jc w:val="center"/>
        <w:rPr>
          <w:rFonts w:ascii="Arial" w:hAnsi="Arial"/>
          <w:b/>
          <w:b/>
          <w:sz w:val="21"/>
          <w:szCs w:val="21"/>
        </w:rPr>
      </w:pPr>
      <w:r>
        <w:rPr>
          <w:rFonts w:ascii="Arial" w:hAnsi="Arial"/>
          <w:b/>
          <w:sz w:val="21"/>
          <w:szCs w:val="21"/>
        </w:rPr>
      </w:r>
    </w:p>
    <w:p>
      <w:pPr>
        <w:pStyle w:val="Normal"/>
        <w:spacing w:lineRule="auto" w:line="360" w:before="0" w:after="0"/>
        <w:jc w:val="both"/>
        <w:rPr>
          <w:rFonts w:ascii="Arial" w:hAnsi="Arial"/>
          <w:bCs/>
          <w:iCs/>
          <w:sz w:val="21"/>
          <w:szCs w:val="21"/>
          <w:lang w:val="pt-BR"/>
        </w:rPr>
      </w:pPr>
      <w:r>
        <w:rPr>
          <w:rFonts w:ascii="Arial" w:hAnsi="Arial"/>
          <w:bCs/>
          <w:iCs/>
          <w:sz w:val="21"/>
          <w:szCs w:val="21"/>
          <w:lang w:val="pt-BR"/>
        </w:rPr>
      </w:r>
    </w:p>
    <w:p>
      <w:pPr>
        <w:pStyle w:val="Normal"/>
        <w:spacing w:lineRule="auto" w:line="360" w:before="0" w:after="0"/>
        <w:jc w:val="both"/>
        <w:rPr>
          <w:lang w:val="pt-BR"/>
        </w:rPr>
      </w:pPr>
      <w:r>
        <w:rPr>
          <w:rFonts w:eastAsia="Times New Roman" w:cs="Arial" w:ascii="Arial" w:hAnsi="Arial"/>
          <w:bCs/>
          <w:iCs/>
          <w:sz w:val="21"/>
          <w:szCs w:val="21"/>
          <w:lang w:val="pt-BR" w:eastAsia="pt-BR"/>
        </w:rPr>
        <w:t xml:space="preserve">O Município de Lindoia do Sul/SC, Estado de Santa Catarina, inscrito no CNPJ nº 78.510.112/0001-80, </w:t>
      </w:r>
      <w:r>
        <w:rPr>
          <w:rFonts w:ascii="Arial" w:hAnsi="Arial"/>
          <w:iCs/>
          <w:sz w:val="21"/>
          <w:szCs w:val="21"/>
          <w:lang w:val="pt-BR"/>
        </w:rPr>
        <w:t xml:space="preserve">torna público para conhecimento de todos os </w:t>
      </w:r>
      <w:r>
        <w:rPr>
          <w:rFonts w:ascii="Arial" w:hAnsi="Arial"/>
          <w:sz w:val="21"/>
          <w:szCs w:val="21"/>
          <w:lang w:val="pt-BR"/>
        </w:rPr>
        <w:t xml:space="preserve">interessados que realizará processo de dispensa de licitação conforme objeto abaixo, nos termos do art. 75, inciso II, da Lei Federal n. 14.133/2021 e conforme previsto pelo Decreto n. 4.072/2024 do </w:t>
      </w:r>
      <w:r>
        <w:rPr>
          <w:rFonts w:eastAsia="Times New Roman" w:cs="Arial" w:ascii="Arial" w:hAnsi="Arial"/>
          <w:bCs/>
          <w:iCs/>
          <w:sz w:val="21"/>
          <w:szCs w:val="21"/>
          <w:lang w:val="pt-BR" w:eastAsia="pt-BR"/>
        </w:rPr>
        <w:t>Município de Lindoia do Sul/SC</w:t>
      </w:r>
      <w:r>
        <w:rPr>
          <w:rFonts w:ascii="Arial" w:hAnsi="Arial"/>
          <w:sz w:val="21"/>
          <w:szCs w:val="21"/>
          <w:lang w:val="pt-BR"/>
        </w:rPr>
        <w:t>.</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center"/>
        <w:rPr>
          <w:lang w:val="pt-BR"/>
        </w:rPr>
      </w:pPr>
      <w:r>
        <w:rPr>
          <w:rFonts w:ascii="Arial" w:hAnsi="Arial"/>
          <w:b/>
          <w:sz w:val="21"/>
          <w:szCs w:val="21"/>
          <w:lang w:val="pt-BR"/>
        </w:rPr>
        <w:t>I – DO OBJETO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 xml:space="preserve">1.1. </w:t>
      </w:r>
      <w:r>
        <w:rPr>
          <w:rFonts w:ascii="Arial" w:hAnsi="Arial"/>
          <w:bCs/>
          <w:sz w:val="21"/>
          <w:szCs w:val="21"/>
          <w:lang w:val="pt-BR"/>
        </w:rPr>
        <w:t xml:space="preserve">O objeto deste processo compreende a contratação direta de empresa para prestação de serviço de locação de </w:t>
      </w:r>
      <w:r>
        <w:rPr>
          <w:rFonts w:ascii="Arial" w:hAnsi="Arial"/>
          <w:sz w:val="21"/>
          <w:szCs w:val="21"/>
          <w:lang w:val="pt-BR"/>
        </w:rPr>
        <w:t>estrutura de sonorização, iluminação e complementares</w:t>
      </w:r>
      <w:r>
        <w:rPr>
          <w:rFonts w:ascii="Arial" w:hAnsi="Arial"/>
          <w:bCs/>
          <w:sz w:val="21"/>
          <w:szCs w:val="21"/>
          <w:lang w:val="pt-BR"/>
        </w:rPr>
        <w:t xml:space="preserve">, para realização da 2ª mostra de danças da oficina de dança mantida pela Diretoria de Cultura de Lindóia do Sul/SC, prevista para realizar-se no dia 15 de dezembro de 2024. </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1.2. Segue a descrição do objeto que se pretende contratar, com valor estimado de referência:</w:t>
      </w:r>
    </w:p>
    <w:p>
      <w:pPr>
        <w:pStyle w:val="Normal"/>
        <w:spacing w:lineRule="auto" w:line="360" w:before="0" w:after="0"/>
        <w:jc w:val="both"/>
        <w:rPr>
          <w:rFonts w:ascii="Arial" w:hAnsi="Arial"/>
          <w:sz w:val="21"/>
          <w:szCs w:val="21"/>
        </w:rPr>
      </w:pPr>
      <w:r>
        <w:rPr>
          <w:rFonts w:ascii="Arial" w:hAnsi="Arial"/>
          <w:sz w:val="21"/>
          <w:szCs w:val="21"/>
        </w:rPr>
      </w:r>
    </w:p>
    <w:tbl>
      <w:tblPr>
        <w:tblW w:w="9629" w:type="dxa"/>
        <w:jc w:val="left"/>
        <w:tblInd w:w="60" w:type="dxa"/>
        <w:tblLayout w:type="fixed"/>
        <w:tblCellMar>
          <w:top w:w="0" w:type="dxa"/>
          <w:left w:w="60" w:type="dxa"/>
          <w:bottom w:w="0" w:type="dxa"/>
          <w:right w:w="70" w:type="dxa"/>
        </w:tblCellMar>
      </w:tblPr>
      <w:tblGrid>
        <w:gridCol w:w="645"/>
        <w:gridCol w:w="543"/>
        <w:gridCol w:w="1044"/>
        <w:gridCol w:w="5128"/>
        <w:gridCol w:w="1132"/>
        <w:gridCol w:w="1"/>
        <w:gridCol w:w="1135"/>
      </w:tblGrid>
      <w:tr>
        <w:trPr>
          <w:tblHeader w:val="true"/>
          <w:trHeight w:val="567" w:hRule="atLeast"/>
        </w:trPr>
        <w:tc>
          <w:tcPr>
            <w:tcW w:w="645" w:type="dxa"/>
            <w:tcBorders>
              <w:top w:val="single" w:sz="8" w:space="0" w:color="000001"/>
              <w:left w:val="single" w:sz="8" w:space="0" w:color="000001"/>
              <w:bottom w:val="single" w:sz="8" w:space="0" w:color="000001"/>
            </w:tcBorders>
            <w:shd w:color="auto"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ITEM</w:t>
            </w:r>
          </w:p>
        </w:tc>
        <w:tc>
          <w:tcPr>
            <w:tcW w:w="543" w:type="dxa"/>
            <w:tcBorders>
              <w:top w:val="single" w:sz="8" w:space="0" w:color="000001"/>
              <w:left w:val="single" w:sz="8" w:space="0" w:color="000001"/>
              <w:bottom w:val="single" w:sz="8" w:space="0" w:color="000001"/>
            </w:tcBorders>
            <w:shd w:color="auto"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QTD</w:t>
            </w:r>
          </w:p>
        </w:tc>
        <w:tc>
          <w:tcPr>
            <w:tcW w:w="1044" w:type="dxa"/>
            <w:tcBorders>
              <w:top w:val="single" w:sz="8" w:space="0" w:color="000001"/>
              <w:left w:val="single" w:sz="8" w:space="0" w:color="000001"/>
              <w:bottom w:val="single" w:sz="8" w:space="0" w:color="000001"/>
            </w:tcBorders>
            <w:shd w:color="auto"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UNIDADE</w:t>
            </w:r>
          </w:p>
        </w:tc>
        <w:tc>
          <w:tcPr>
            <w:tcW w:w="5128" w:type="dxa"/>
            <w:tcBorders>
              <w:top w:val="single" w:sz="8" w:space="0" w:color="000001"/>
              <w:left w:val="single" w:sz="8" w:space="0" w:color="000001"/>
              <w:bottom w:val="single" w:sz="8" w:space="0" w:color="000001"/>
            </w:tcBorders>
            <w:shd w:color="auto"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DESCRIÇÃO</w:t>
            </w:r>
          </w:p>
        </w:tc>
        <w:tc>
          <w:tcPr>
            <w:tcW w:w="1132" w:type="dxa"/>
            <w:tcBorders>
              <w:top w:val="single" w:sz="8" w:space="0" w:color="000001"/>
              <w:left w:val="single" w:sz="4" w:space="0" w:color="000001"/>
              <w:bottom w:val="single" w:sz="8" w:space="0" w:color="000001"/>
            </w:tcBorders>
            <w:shd w:color="auto" w:fill="969696" w:val="clear"/>
            <w:tcMar>
              <w:left w:w="65" w:type="dxa"/>
            </w:tcM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PREÇO UNITÁRIO</w:t>
            </w:r>
          </w:p>
        </w:tc>
        <w:tc>
          <w:tcPr>
            <w:tcW w:w="1136" w:type="dxa"/>
            <w:gridSpan w:val="2"/>
            <w:tcBorders>
              <w:top w:val="single" w:sz="8" w:space="0" w:color="000001"/>
              <w:left w:val="single" w:sz="8" w:space="0" w:color="000001"/>
              <w:bottom w:val="single" w:sz="8" w:space="0" w:color="000001"/>
              <w:right w:val="single" w:sz="8" w:space="0" w:color="000001"/>
            </w:tcBorders>
            <w:shd w:color="auto" w:fill="969696" w:val="clear"/>
            <w:vAlign w:val="center"/>
          </w:tcPr>
          <w:p>
            <w:pPr>
              <w:pStyle w:val="Normal"/>
              <w:widowControl w:val="false"/>
              <w:spacing w:lineRule="auto" w:line="240"/>
              <w:jc w:val="center"/>
              <w:rPr>
                <w:rFonts w:eastAsia="Times New Roman"/>
                <w:b/>
                <w:b/>
                <w:bCs/>
                <w:color w:val="000000"/>
                <w:sz w:val="18"/>
                <w:szCs w:val="18"/>
                <w:lang w:eastAsia="pt-BR"/>
              </w:rPr>
            </w:pPr>
            <w:r>
              <w:rPr>
                <w:rFonts w:eastAsia="Times New Roman"/>
                <w:b/>
                <w:bCs/>
                <w:color w:val="000000"/>
                <w:sz w:val="18"/>
                <w:szCs w:val="18"/>
                <w:lang w:eastAsia="pt-BR"/>
              </w:rPr>
              <w:t>PREÇO</w:t>
            </w:r>
          </w:p>
          <w:p>
            <w:pPr>
              <w:pStyle w:val="Normal"/>
              <w:widowControl w:val="false"/>
              <w:spacing w:lineRule="auto" w:line="240" w:before="0" w:after="160"/>
              <w:jc w:val="center"/>
              <w:rPr>
                <w:rFonts w:eastAsia="Times New Roman"/>
                <w:b/>
                <w:b/>
                <w:bCs/>
                <w:color w:val="000000"/>
                <w:sz w:val="18"/>
                <w:szCs w:val="18"/>
                <w:lang w:eastAsia="pt-BR"/>
              </w:rPr>
            </w:pPr>
            <w:bookmarkStart w:id="0" w:name="_Hlk128582997"/>
            <w:bookmarkEnd w:id="0"/>
            <w:r>
              <w:rPr>
                <w:rFonts w:eastAsia="Times New Roman"/>
                <w:b/>
                <w:bCs/>
                <w:color w:val="000000"/>
                <w:sz w:val="18"/>
                <w:szCs w:val="18"/>
                <w:lang w:eastAsia="pt-BR"/>
              </w:rPr>
              <w:t>TOTAL</w:t>
            </w:r>
          </w:p>
        </w:tc>
      </w:tr>
      <w:tr>
        <w:trPr>
          <w:trHeight w:val="567" w:hRule="atLeast"/>
        </w:trPr>
        <w:tc>
          <w:tcPr>
            <w:tcW w:w="645" w:type="dxa"/>
            <w:tcBorders>
              <w:top w:val="single" w:sz="8" w:space="0" w:color="000001"/>
              <w:left w:val="single" w:sz="8" w:space="0" w:color="000001"/>
              <w:bottom w:val="single" w:sz="8" w:space="0" w:color="000001"/>
            </w:tcBorders>
            <w:shd w:color="auto" w:fill="auto" w:val="clear"/>
            <w:vAlign w:val="center"/>
          </w:tcPr>
          <w:p>
            <w:pPr>
              <w:pStyle w:val="Normal"/>
              <w:widowControl w:val="false"/>
              <w:spacing w:lineRule="auto" w:line="240" w:before="0" w:after="160"/>
              <w:jc w:val="center"/>
              <w:rPr>
                <w:sz w:val="20"/>
                <w:szCs w:val="20"/>
              </w:rPr>
            </w:pPr>
            <w:r>
              <w:rPr>
                <w:rFonts w:eastAsia="Times New Roman"/>
                <w:color w:val="000000"/>
                <w:sz w:val="20"/>
                <w:szCs w:val="20"/>
                <w:lang w:eastAsia="pt-BR"/>
              </w:rPr>
              <w:t>01</w:t>
            </w:r>
          </w:p>
        </w:tc>
        <w:tc>
          <w:tcPr>
            <w:tcW w:w="543" w:type="dxa"/>
            <w:tcBorders>
              <w:top w:val="single" w:sz="8" w:space="0" w:color="000001"/>
              <w:left w:val="single" w:sz="8" w:space="0" w:color="000001"/>
              <w:bottom w:val="single" w:sz="8" w:space="0" w:color="000001"/>
            </w:tcBorders>
            <w:shd w:color="auto" w:fill="auto" w:val="clear"/>
            <w:vAlign w:val="center"/>
          </w:tcPr>
          <w:p>
            <w:pPr>
              <w:pStyle w:val="Normal"/>
              <w:widowControl w:val="false"/>
              <w:spacing w:lineRule="auto" w:line="240" w:before="0" w:after="160"/>
              <w:jc w:val="center"/>
              <w:rPr>
                <w:sz w:val="20"/>
                <w:szCs w:val="20"/>
              </w:rPr>
            </w:pPr>
            <w:r>
              <w:rPr>
                <w:sz w:val="20"/>
                <w:szCs w:val="20"/>
              </w:rPr>
              <w:t>01</w:t>
            </w:r>
          </w:p>
        </w:tc>
        <w:tc>
          <w:tcPr>
            <w:tcW w:w="1044" w:type="dxa"/>
            <w:tcBorders>
              <w:top w:val="single" w:sz="8" w:space="0" w:color="000001"/>
              <w:left w:val="single" w:sz="8" w:space="0" w:color="000001"/>
              <w:bottom w:val="single" w:sz="8" w:space="0" w:color="000001"/>
            </w:tcBorders>
            <w:shd w:color="auto" w:fill="auto" w:val="clear"/>
            <w:vAlign w:val="center"/>
          </w:tcPr>
          <w:p>
            <w:pPr>
              <w:pStyle w:val="Normal"/>
              <w:widowControl w:val="false"/>
              <w:spacing w:lineRule="auto" w:line="240" w:before="0" w:after="160"/>
              <w:jc w:val="center"/>
              <w:rPr>
                <w:sz w:val="20"/>
                <w:szCs w:val="20"/>
              </w:rPr>
            </w:pPr>
            <w:r>
              <w:rPr>
                <w:sz w:val="20"/>
                <w:szCs w:val="20"/>
              </w:rPr>
              <w:t>Ser</w:t>
            </w:r>
          </w:p>
        </w:tc>
        <w:tc>
          <w:tcPr>
            <w:tcW w:w="5128" w:type="dxa"/>
            <w:tcBorders>
              <w:top w:val="single" w:sz="8" w:space="0" w:color="000001"/>
              <w:left w:val="single" w:sz="8" w:space="0" w:color="000001"/>
              <w:bottom w:val="single" w:sz="8" w:space="0" w:color="000001"/>
            </w:tcBorders>
            <w:shd w:color="auto" w:fill="auto" w:val="clear"/>
          </w:tcPr>
          <w:p>
            <w:pPr>
              <w:pStyle w:val="Normal"/>
              <w:widowControl w:val="false"/>
              <w:suppressAutoHyphens w:val="false"/>
              <w:jc w:val="both"/>
              <w:rPr/>
            </w:pPr>
            <w:r>
              <w:rPr>
                <w:b/>
                <w:bCs/>
                <w:sz w:val="20"/>
                <w:szCs w:val="20"/>
              </w:rPr>
              <w:t>PRESTAÇÃO DE SERVIÇOS PARA 2ª MOSTRA DE DANÇAS:</w:t>
            </w:r>
            <w:r>
              <w:rPr>
                <w:sz w:val="20"/>
                <w:szCs w:val="20"/>
              </w:rPr>
              <w:t xml:space="preserve"> </w:t>
            </w:r>
          </w:p>
          <w:p>
            <w:pPr>
              <w:pStyle w:val="Normal"/>
              <w:widowControl w:val="false"/>
              <w:suppressAutoHyphens w:val="false"/>
              <w:jc w:val="both"/>
              <w:rPr/>
            </w:pPr>
            <w:r>
              <w:rPr>
                <w:sz w:val="20"/>
                <w:szCs w:val="20"/>
              </w:rPr>
              <w:t xml:space="preserve">A ser realizado no Ginásio Municipal de Esportes em data prevista para 15 de dezembro de 2024, o evento acontecerá no período noturno com disponibilidade do equipamento pronto para ensaios as 08h do dia 13 de dezembro, abrangendo os seguintes itens com equipe técnica de 03 pessoas presentes: </w:t>
            </w:r>
          </w:p>
          <w:p>
            <w:pPr>
              <w:pStyle w:val="Normal"/>
              <w:widowControl w:val="false"/>
              <w:suppressAutoHyphens w:val="false"/>
              <w:jc w:val="both"/>
              <w:rPr>
                <w:b/>
                <w:b/>
                <w:bCs/>
                <w:sz w:val="20"/>
                <w:szCs w:val="20"/>
              </w:rPr>
            </w:pPr>
            <w:r>
              <w:rPr>
                <w:b/>
                <w:bCs/>
                <w:sz w:val="20"/>
                <w:szCs w:val="20"/>
              </w:rPr>
            </w:r>
          </w:p>
          <w:p>
            <w:pPr>
              <w:pStyle w:val="Normal"/>
              <w:widowControl w:val="false"/>
              <w:suppressAutoHyphens w:val="false"/>
              <w:jc w:val="both"/>
              <w:rPr/>
            </w:pPr>
            <w:r>
              <w:rPr>
                <w:b/>
                <w:bCs/>
                <w:sz w:val="20"/>
                <w:szCs w:val="20"/>
              </w:rPr>
              <w:t>SERVIÇOS DE SONORIZAÇÃO:</w:t>
            </w:r>
            <w:r>
              <w:rPr>
                <w:sz w:val="20"/>
                <w:szCs w:val="20"/>
              </w:rPr>
              <w:t xml:space="preserve"> Sistema de som com pressão sonora compatíveis para festival de dança com no mínimo 8 falantes 18" sub grave e caixas altas para definição de voz com qualidade, mesa de som, 2 pedestais, 2 microfones com fio, 2 microfones sem fio com antenas DBU (tecnologia semelhante ao shure axient sem interferências 4g ou 5g). Cabeamento necessário para ligar o sistema especificado acima. </w:t>
            </w:r>
          </w:p>
          <w:p>
            <w:pPr>
              <w:pStyle w:val="Normal"/>
              <w:widowControl w:val="false"/>
              <w:suppressAutoHyphens w:val="false"/>
              <w:jc w:val="both"/>
              <w:rPr>
                <w:b/>
                <w:b/>
                <w:bCs/>
                <w:sz w:val="20"/>
                <w:szCs w:val="20"/>
              </w:rPr>
            </w:pPr>
            <w:r>
              <w:rPr>
                <w:b/>
                <w:bCs/>
                <w:sz w:val="20"/>
                <w:szCs w:val="20"/>
              </w:rPr>
            </w:r>
          </w:p>
          <w:p>
            <w:pPr>
              <w:pStyle w:val="Normal"/>
              <w:widowControl w:val="false"/>
              <w:suppressAutoHyphens w:val="false"/>
              <w:jc w:val="both"/>
              <w:rPr/>
            </w:pPr>
            <w:r>
              <w:rPr>
                <w:b/>
                <w:bCs/>
                <w:sz w:val="20"/>
                <w:szCs w:val="20"/>
              </w:rPr>
              <w:t>SERVIÇO DE ILUMINAÇÃO:</w:t>
            </w:r>
            <w:r>
              <w:rPr>
                <w:sz w:val="20"/>
                <w:szCs w:val="20"/>
              </w:rPr>
              <w:t xml:space="preserve"> Sistema de Iluminação para apresentações de dança contendo mesa de iluminação, 24 refletores Par led; 12 moving whash; 08 Ribalta p5; 02 maquina fumaça; mesa de comando; 08 moving head; 02 minibrut; -Rack com Spliter 4 entradas 16 saídas 36 canais de dimmer e 24 canais pro power; técnico para programação e execução durante espetáculo; </w:t>
            </w:r>
          </w:p>
          <w:p>
            <w:pPr>
              <w:pStyle w:val="Normal"/>
              <w:widowControl w:val="false"/>
              <w:suppressAutoHyphens w:val="false"/>
              <w:jc w:val="both"/>
              <w:rPr>
                <w:b/>
                <w:b/>
                <w:bCs/>
                <w:sz w:val="20"/>
                <w:szCs w:val="20"/>
              </w:rPr>
            </w:pPr>
            <w:r>
              <w:rPr>
                <w:b/>
                <w:bCs/>
                <w:sz w:val="20"/>
                <w:szCs w:val="20"/>
              </w:rPr>
            </w:r>
          </w:p>
          <w:p>
            <w:pPr>
              <w:pStyle w:val="Normal"/>
              <w:widowControl w:val="false"/>
              <w:suppressAutoHyphens w:val="false"/>
              <w:jc w:val="both"/>
              <w:rPr>
                <w:b/>
                <w:b/>
                <w:bCs/>
                <w:sz w:val="20"/>
                <w:szCs w:val="20"/>
              </w:rPr>
            </w:pPr>
            <w:r>
              <w:rPr>
                <w:b/>
                <w:bCs/>
                <w:sz w:val="20"/>
                <w:szCs w:val="20"/>
              </w:rPr>
              <w:t>SERVIÇO DE TRELIÇAS:</w:t>
            </w:r>
          </w:p>
          <w:p>
            <w:pPr>
              <w:pStyle w:val="Normal"/>
              <w:widowControl w:val="false"/>
              <w:suppressAutoHyphens w:val="false"/>
              <w:jc w:val="both"/>
              <w:rPr/>
            </w:pPr>
            <w:r>
              <w:rPr>
                <w:sz w:val="20"/>
                <w:szCs w:val="20"/>
              </w:rPr>
              <w:t xml:space="preserve">Grid em treliça medindo no mínimo 10 metros de largura por 8 metros de profundidade com mais 2 linhas sobrepostas de 11 metros e pé direito livre de 5 metros de altura com toda treliça aérea em q-50 por questão de segurança do vão livre de 10 e 11 metros; </w:t>
            </w:r>
          </w:p>
          <w:p>
            <w:pPr>
              <w:pStyle w:val="Normal"/>
              <w:widowControl w:val="false"/>
              <w:suppressAutoHyphens w:val="false"/>
              <w:jc w:val="both"/>
              <w:rPr>
                <w:b/>
                <w:b/>
                <w:bCs/>
                <w:sz w:val="20"/>
                <w:szCs w:val="20"/>
              </w:rPr>
            </w:pPr>
            <w:r>
              <w:rPr>
                <w:b/>
                <w:bCs/>
                <w:sz w:val="20"/>
                <w:szCs w:val="20"/>
              </w:rPr>
            </w:r>
          </w:p>
          <w:p>
            <w:pPr>
              <w:pStyle w:val="Contedodatabela"/>
              <w:widowControl w:val="false"/>
              <w:spacing w:lineRule="auto" w:line="240" w:before="0" w:after="160"/>
              <w:jc w:val="both"/>
              <w:rPr/>
            </w:pPr>
            <w:r>
              <w:rPr>
                <w:b/>
                <w:bCs/>
                <w:sz w:val="20"/>
                <w:szCs w:val="20"/>
              </w:rPr>
              <w:t>SERVIÇOS DE ACABAMENTOS E FECHAMENTO DE PALCO:</w:t>
            </w:r>
            <w:r>
              <w:rPr>
                <w:sz w:val="20"/>
                <w:szCs w:val="20"/>
              </w:rPr>
              <w:t xml:space="preserve"> Fechamento de palco e 8 coxias com tecidos pretos. Linóleo para chão do ginásio de 10 metros largura por 8 metros profundidade. No mínimo 20 passa cabos de 1m que possua ângulos de inclinação.</w:t>
            </w:r>
          </w:p>
        </w:tc>
        <w:tc>
          <w:tcPr>
            <w:tcW w:w="1132" w:type="dxa"/>
            <w:tcBorders>
              <w:top w:val="single" w:sz="8" w:space="0" w:color="000001"/>
              <w:left w:val="single" w:sz="4" w:space="0" w:color="000001"/>
              <w:bottom w:val="single" w:sz="8" w:space="0" w:color="000001"/>
            </w:tcBorders>
            <w:shd w:color="auto" w:fill="auto" w:val="clear"/>
            <w:tcMar>
              <w:left w:w="65" w:type="dxa"/>
            </w:tcMar>
            <w:vAlign w:val="center"/>
          </w:tcPr>
          <w:p>
            <w:pPr>
              <w:pStyle w:val="Normal"/>
              <w:widowControl w:val="false"/>
              <w:spacing w:lineRule="auto" w:line="240" w:before="0" w:after="160"/>
              <w:rPr>
                <w:sz w:val="20"/>
                <w:szCs w:val="20"/>
              </w:rPr>
            </w:pPr>
            <w:r>
              <w:rPr>
                <w:sz w:val="20"/>
                <w:szCs w:val="20"/>
              </w:rPr>
              <w:t>12.000,00</w:t>
            </w:r>
          </w:p>
        </w:tc>
        <w:tc>
          <w:tcPr>
            <w:tcW w:w="1136" w:type="dxa"/>
            <w:gridSpan w:val="2"/>
            <w:tcBorders>
              <w:top w:val="single" w:sz="8" w:space="0" w:color="000001"/>
              <w:left w:val="single" w:sz="8" w:space="0" w:color="000001"/>
              <w:bottom w:val="single" w:sz="8" w:space="0" w:color="000001"/>
              <w:right w:val="single" w:sz="8" w:space="0" w:color="000001"/>
            </w:tcBorders>
            <w:shd w:color="auto" w:fill="auto" w:val="clear"/>
            <w:vAlign w:val="center"/>
          </w:tcPr>
          <w:p>
            <w:pPr>
              <w:pStyle w:val="Normal"/>
              <w:widowControl w:val="false"/>
              <w:spacing w:lineRule="auto" w:line="240" w:before="0" w:after="160"/>
              <w:rPr>
                <w:sz w:val="20"/>
                <w:szCs w:val="20"/>
              </w:rPr>
            </w:pPr>
            <w:r>
              <w:rPr>
                <w:sz w:val="20"/>
                <w:szCs w:val="20"/>
              </w:rPr>
              <w:t>12.000,00</w:t>
            </w:r>
          </w:p>
        </w:tc>
      </w:tr>
      <w:tr>
        <w:trPr>
          <w:trHeight w:val="348" w:hRule="atLeast"/>
        </w:trPr>
        <w:tc>
          <w:tcPr>
            <w:tcW w:w="8493" w:type="dxa"/>
            <w:gridSpan w:val="6"/>
            <w:tcBorders>
              <w:top w:val="single" w:sz="8" w:space="0" w:color="000001"/>
              <w:left w:val="single" w:sz="8" w:space="0" w:color="000001"/>
              <w:bottom w:val="single" w:sz="8" w:space="0" w:color="000001"/>
            </w:tcBorders>
            <w:shd w:color="auto" w:fill="auto"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VALOR TOTAL DA CONTR.</w:t>
            </w:r>
          </w:p>
        </w:tc>
        <w:tc>
          <w:tcPr>
            <w:tcW w:w="1135" w:type="dxa"/>
            <w:tcBorders>
              <w:top w:val="single" w:sz="8" w:space="0" w:color="000001"/>
              <w:left w:val="single" w:sz="8" w:space="0" w:color="000001"/>
              <w:bottom w:val="single" w:sz="8" w:space="0" w:color="000001"/>
              <w:right w:val="single" w:sz="8" w:space="0" w:color="000001"/>
            </w:tcBorders>
            <w:shd w:color="auto" w:fill="auto" w:val="clear"/>
            <w:vAlign w:val="center"/>
          </w:tcPr>
          <w:p>
            <w:pPr>
              <w:pStyle w:val="Normal"/>
              <w:widowControl w:val="false"/>
              <w:spacing w:lineRule="auto" w:line="240" w:before="0" w:after="160"/>
              <w:jc w:val="center"/>
              <w:rPr>
                <w:rFonts w:eastAsia="Times New Roman"/>
                <w:color w:val="000000"/>
                <w:sz w:val="20"/>
                <w:szCs w:val="20"/>
                <w:lang w:eastAsia="pt-BR"/>
              </w:rPr>
            </w:pPr>
            <w:r>
              <w:rPr>
                <w:rFonts w:eastAsia="Times New Roman"/>
                <w:color w:val="000000"/>
                <w:sz w:val="20"/>
                <w:szCs w:val="20"/>
                <w:lang w:eastAsia="pt-BR"/>
              </w:rPr>
              <w:t>12.000,00</w:t>
            </w:r>
          </w:p>
        </w:tc>
      </w:tr>
    </w:tbl>
    <w:p>
      <w:pPr>
        <w:pStyle w:val="Normal"/>
        <w:spacing w:lineRule="auto" w:line="360" w:before="0" w:after="0"/>
        <w:jc w:val="center"/>
        <w:rPr>
          <w:rFonts w:ascii="Arial" w:hAnsi="Arial"/>
          <w:sz w:val="21"/>
          <w:szCs w:val="21"/>
        </w:rPr>
      </w:pPr>
      <w:r>
        <w:rPr>
          <w:rFonts w:ascii="Arial" w:hAnsi="Arial"/>
          <w:sz w:val="21"/>
          <w:szCs w:val="21"/>
        </w:rPr>
      </w:r>
    </w:p>
    <w:p>
      <w:pPr>
        <w:pStyle w:val="Normal"/>
        <w:spacing w:lineRule="auto" w:line="360" w:before="0" w:after="0"/>
        <w:jc w:val="center"/>
        <w:rPr>
          <w:rFonts w:ascii="Arial" w:hAnsi="Arial"/>
          <w:sz w:val="21"/>
          <w:szCs w:val="21"/>
        </w:rPr>
      </w:pPr>
      <w:r>
        <w:rPr>
          <w:rFonts w:ascii="Arial" w:hAnsi="Arial"/>
          <w:b/>
          <w:sz w:val="21"/>
          <w:szCs w:val="21"/>
          <w:lang w:val="pt-BR"/>
        </w:rPr>
        <w:t>II – DO PRAZO DA DIVULGAÇÃO</w:t>
      </w:r>
    </w:p>
    <w:p>
      <w:pPr>
        <w:pStyle w:val="Normal"/>
        <w:spacing w:lineRule="auto" w:line="360" w:before="0" w:after="0"/>
        <w:jc w:val="both"/>
        <w:rPr>
          <w:rFonts w:ascii="Arial" w:hAnsi="Arial"/>
          <w:bCs/>
          <w:sz w:val="21"/>
          <w:szCs w:val="21"/>
          <w:lang w:val="pt-BR"/>
        </w:rPr>
      </w:pPr>
      <w:r>
        <w:rPr>
          <w:rFonts w:ascii="Arial" w:hAnsi="Arial"/>
          <w:bCs/>
          <w:sz w:val="21"/>
          <w:szCs w:val="21"/>
          <w:lang w:val="pt-BR"/>
        </w:rPr>
      </w:r>
    </w:p>
    <w:p>
      <w:pPr>
        <w:pStyle w:val="Normal"/>
        <w:spacing w:lineRule="auto" w:line="360" w:before="0" w:after="0"/>
        <w:jc w:val="both"/>
        <w:rPr>
          <w:lang w:val="pt-BR"/>
        </w:rPr>
      </w:pPr>
      <w:r>
        <w:rPr>
          <w:rFonts w:ascii="Arial" w:hAnsi="Arial"/>
          <w:bCs/>
          <w:sz w:val="21"/>
          <w:szCs w:val="21"/>
          <w:lang w:val="pt-BR"/>
        </w:rPr>
        <w:t xml:space="preserve">2.1. O prazo para apresentação de propostas adicionais pelos eventuais interessados inicia em 30 </w:t>
      </w:r>
      <w:r>
        <w:rPr>
          <w:rFonts w:ascii="Arial" w:hAnsi="Arial"/>
          <w:bCs/>
          <w:sz w:val="21"/>
          <w:szCs w:val="21"/>
          <w:shd w:fill="auto" w:val="clear"/>
          <w:lang w:val="pt-BR"/>
        </w:rPr>
        <w:t xml:space="preserve">de outubro </w:t>
      </w:r>
      <w:r>
        <w:rPr>
          <w:rFonts w:ascii="Arial" w:hAnsi="Arial"/>
          <w:bCs/>
          <w:color w:val="000000"/>
          <w:sz w:val="21"/>
          <w:szCs w:val="21"/>
          <w:shd w:fill="auto" w:val="clear"/>
          <w:lang w:val="pt-BR"/>
        </w:rPr>
        <w:t xml:space="preserve">de 2024 e encerra em 01 de </w:t>
      </w:r>
      <w:r>
        <w:rPr>
          <w:rFonts w:ascii="Arial" w:hAnsi="Arial"/>
          <w:bCs/>
          <w:color w:val="000000"/>
          <w:sz w:val="21"/>
          <w:szCs w:val="21"/>
          <w:shd w:fill="auto" w:val="clear"/>
          <w:lang w:val="pt-BR"/>
        </w:rPr>
        <w:t>novembro</w:t>
      </w:r>
      <w:r>
        <w:rPr>
          <w:rFonts w:ascii="Arial" w:hAnsi="Arial"/>
          <w:bCs/>
          <w:color w:val="000000"/>
          <w:sz w:val="21"/>
          <w:szCs w:val="21"/>
          <w:shd w:fill="auto" w:val="clear"/>
          <w:lang w:val="pt-BR"/>
        </w:rPr>
        <w:t xml:space="preserve"> de 2024.</w:t>
      </w:r>
    </w:p>
    <w:p>
      <w:pPr>
        <w:pStyle w:val="Normal"/>
        <w:spacing w:lineRule="auto" w:line="360" w:before="0" w:after="0"/>
        <w:jc w:val="both"/>
        <w:rPr>
          <w:lang w:val="pt-BR"/>
        </w:rPr>
      </w:pPr>
      <w:r>
        <w:rPr>
          <w:lang w:val="pt-BR"/>
        </w:rPr>
      </w:r>
    </w:p>
    <w:p>
      <w:pPr>
        <w:pStyle w:val="Normal"/>
        <w:spacing w:lineRule="auto" w:line="360" w:before="0" w:after="0"/>
        <w:jc w:val="center"/>
        <w:rPr>
          <w:lang w:val="pt-BR"/>
        </w:rPr>
      </w:pPr>
      <w:r>
        <w:rPr>
          <w:rFonts w:ascii="Arial" w:hAnsi="Arial"/>
          <w:b/>
          <w:sz w:val="21"/>
          <w:szCs w:val="21"/>
          <w:lang w:val="pt-BR"/>
        </w:rPr>
        <w:t>III – DO PROCEDIMENTO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pPr>
      <w:r>
        <w:rPr>
          <w:rFonts w:ascii="Arial" w:hAnsi="Arial"/>
          <w:sz w:val="21"/>
          <w:szCs w:val="21"/>
          <w:lang w:val="pt-BR"/>
        </w:rPr>
        <w:t xml:space="preserve">3.1. Os eventuais interessados deverão encaminhar suas propostas para o endereço eletrônico </w:t>
      </w:r>
      <w:r>
        <w:rPr>
          <w:rStyle w:val="LinkdaInternet"/>
          <w:rFonts w:ascii="Arial" w:hAnsi="Arial"/>
          <w:sz w:val="21"/>
          <w:szCs w:val="21"/>
          <w:lang w:val="pt-BR"/>
        </w:rPr>
        <w:t>licita@lindoiadosul.sc.gov.br</w:t>
      </w:r>
      <w:r>
        <w:rPr>
          <w:rFonts w:ascii="Arial" w:hAnsi="Arial"/>
          <w:sz w:val="21"/>
          <w:szCs w:val="21"/>
          <w:lang w:val="pt-BR"/>
        </w:rPr>
        <w:t xml:space="preserve"> no prazo supracitado, as quais observarão o disposto a seguir:</w:t>
      </w:r>
    </w:p>
    <w:p>
      <w:pPr>
        <w:pStyle w:val="Normal"/>
        <w:spacing w:lineRule="auto" w:line="360" w:before="0" w:after="0"/>
        <w:ind w:left="567" w:hanging="0"/>
        <w:jc w:val="both"/>
        <w:rPr>
          <w:lang w:val="pt-BR"/>
        </w:rPr>
      </w:pPr>
      <w:r>
        <w:rPr>
          <w:rFonts w:ascii="Arial" w:hAnsi="Arial"/>
          <w:sz w:val="21"/>
          <w:szCs w:val="21"/>
          <w:lang w:val="pt-BR"/>
        </w:rPr>
        <w:t xml:space="preserve">a) conter o nome do proponente, endereço, identificação (individual ou social), o nº do CNPJ e da Inscrição Estadual, número de telefone, e e-mail; </w:t>
      </w:r>
    </w:p>
    <w:p>
      <w:pPr>
        <w:pStyle w:val="Normal"/>
        <w:spacing w:lineRule="auto" w:line="360" w:before="0" w:after="0"/>
        <w:ind w:left="567" w:hanging="0"/>
        <w:jc w:val="both"/>
        <w:rPr>
          <w:lang w:val="pt-BR"/>
        </w:rPr>
      </w:pPr>
      <w:r>
        <w:rPr>
          <w:rFonts w:ascii="Arial" w:hAnsi="Arial"/>
          <w:sz w:val="21"/>
          <w:szCs w:val="21"/>
          <w:lang w:val="pt-BR"/>
        </w:rPr>
        <w:t xml:space="preserve">b) suas folhas devem estar datadas, assinadas e rubricadas pelo seu representante legal, podendo ser de forma digital, desde que atendidos os requisitos legais; </w:t>
      </w:r>
    </w:p>
    <w:p>
      <w:pPr>
        <w:pStyle w:val="Normal"/>
        <w:spacing w:lineRule="auto" w:line="360" w:before="0" w:after="0"/>
        <w:ind w:left="567" w:hanging="0"/>
        <w:jc w:val="both"/>
        <w:rPr>
          <w:lang w:val="pt-BR"/>
        </w:rPr>
      </w:pPr>
      <w:r>
        <w:rPr>
          <w:rFonts w:ascii="Arial" w:hAnsi="Arial"/>
          <w:sz w:val="21"/>
          <w:szCs w:val="21"/>
          <w:lang w:val="pt-BR"/>
        </w:rPr>
        <w:t xml:space="preserve">c) nos preços propostos deverão estar incluídos todos os custos diretos e indiretos necessários à perfeita execução do objeto,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 </w:t>
      </w:r>
    </w:p>
    <w:p>
      <w:pPr>
        <w:pStyle w:val="Normal"/>
        <w:spacing w:lineRule="auto" w:line="360" w:before="0" w:after="0"/>
        <w:ind w:left="567" w:hanging="0"/>
        <w:jc w:val="both"/>
        <w:rPr>
          <w:lang w:val="pt-BR"/>
        </w:rPr>
      </w:pPr>
      <w:r>
        <w:rPr>
          <w:rFonts w:ascii="Arial" w:hAnsi="Arial"/>
          <w:sz w:val="21"/>
          <w:szCs w:val="21"/>
          <w:lang w:val="pt-BR"/>
        </w:rPr>
        <w:t xml:space="preserve">d) o prazo de validade da proposta de preços que não poderá ser inferior a 60 (sessenta) dias, contados da abertura do prazo para envio; </w:t>
      </w:r>
    </w:p>
    <w:p>
      <w:pPr>
        <w:pStyle w:val="Normal"/>
        <w:spacing w:lineRule="auto" w:line="360" w:before="0" w:after="0"/>
        <w:ind w:left="567" w:hanging="0"/>
        <w:jc w:val="both"/>
        <w:rPr>
          <w:lang w:val="pt-BR"/>
        </w:rPr>
      </w:pPr>
      <w:r>
        <w:rPr>
          <w:rFonts w:ascii="Arial" w:hAnsi="Arial"/>
          <w:sz w:val="21"/>
          <w:szCs w:val="21"/>
          <w:lang w:val="pt-BR"/>
        </w:rPr>
        <w:t xml:space="preserve">e) conter valor unitário e valor total com a quantidade estimada, o valor total deverá constar também por extenso; </w:t>
      </w:r>
    </w:p>
    <w:p>
      <w:pPr>
        <w:pStyle w:val="Normal"/>
        <w:spacing w:lineRule="auto" w:line="360" w:before="0" w:after="0"/>
        <w:ind w:left="567" w:hanging="0"/>
        <w:jc w:val="both"/>
        <w:rPr>
          <w:lang w:val="pt-BR"/>
        </w:rPr>
      </w:pPr>
      <w:r>
        <w:rPr>
          <w:rFonts w:ascii="Arial" w:hAnsi="Arial"/>
          <w:sz w:val="21"/>
          <w:szCs w:val="21"/>
          <w:lang w:val="pt-BR"/>
        </w:rPr>
        <w:t>f) conter discriminados em moeda corrente nacional os preços dos itens limitados a 02 (duas) casas decimais para os centavos; e</w:t>
      </w:r>
    </w:p>
    <w:p>
      <w:pPr>
        <w:pStyle w:val="Normal"/>
        <w:spacing w:lineRule="auto" w:line="360" w:before="0" w:after="0"/>
        <w:ind w:left="567" w:hanging="0"/>
        <w:jc w:val="both"/>
        <w:rPr>
          <w:lang w:val="pt-BR"/>
        </w:rPr>
      </w:pPr>
      <w:r>
        <w:rPr>
          <w:rFonts w:ascii="Arial" w:hAnsi="Arial"/>
          <w:sz w:val="21"/>
          <w:szCs w:val="21"/>
          <w:lang w:val="pt-BR"/>
        </w:rPr>
        <w:t>g) especificação completa do produto oferecido de acordo com as apresentadas na Proposta Eletrônica com informações técnicas que possibilitem a sua completa avaliação, totalmente e estritamente conforme descrito acima.</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3.2. O eventual interessado, ao enviar sua proposta, declara compreender que não está participando de uma licitação, mas fornecendo proposta adicional para a aferição, por parte da Administração, da vantajosidade da escolha a ser contratada em processo de dispensa de licitação.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 xml:space="preserve">3.3. O prosseguimento do processo de contratação direta já iniciado não é condicionado à apresentação de propostas, podendo ser realizada a contratação mesmo que o prazo transcorra </w:t>
      </w:r>
      <w:r>
        <w:rPr>
          <w:rFonts w:ascii="Arial" w:hAnsi="Arial"/>
          <w:i/>
          <w:iCs/>
          <w:sz w:val="21"/>
          <w:szCs w:val="21"/>
          <w:lang w:val="pt-BR"/>
        </w:rPr>
        <w:t>in albis</w:t>
      </w:r>
      <w:r>
        <w:rPr>
          <w:rFonts w:ascii="Arial" w:hAnsi="Arial"/>
          <w:sz w:val="21"/>
          <w:szCs w:val="21"/>
          <w:lang w:val="pt-BR"/>
        </w:rPr>
        <w:t>.</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3.4. A seleção da contratada não estará restrita àqueles que encaminharem suas propostas, podendo a Administração selecionar a proposta de terceiro alheio a este procedimento.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3.5. A divulgação da proposta selecionada como mais vantajosa far-se-á junto ao teor da autorização da autoridade competente, a qual fará a indicação da pessoa a ser contratada, nos termos do art. 72, inciso VIII e parágrafo único, da Lei Federal n. 14.133/2021.</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3.6. Dúvidas ou esclarecimentos poderão ser solicitadas através do endereço eletrônico supracitado.</w:t>
      </w:r>
    </w:p>
    <w:p>
      <w:pPr>
        <w:pStyle w:val="Normal"/>
        <w:spacing w:lineRule="auto" w:line="360" w:before="0" w:after="0"/>
        <w:jc w:val="both"/>
        <w:rPr>
          <w:lang w:val="pt-BR"/>
        </w:rPr>
      </w:pPr>
      <w:r>
        <w:rPr>
          <w:lang w:val="pt-BR"/>
        </w:rPr>
      </w:r>
    </w:p>
    <w:p>
      <w:pPr>
        <w:pStyle w:val="Normal"/>
        <w:spacing w:lineRule="auto" w:line="360" w:before="0" w:after="0"/>
        <w:jc w:val="center"/>
        <w:rPr>
          <w:b/>
          <w:b/>
          <w:bCs/>
          <w:lang w:val="pt-BR"/>
        </w:rPr>
      </w:pPr>
      <w:r>
        <w:rPr>
          <w:rFonts w:ascii="Arial" w:hAnsi="Arial"/>
          <w:b/>
          <w:bCs/>
          <w:sz w:val="21"/>
          <w:szCs w:val="21"/>
          <w:lang w:val="pt-BR"/>
        </w:rPr>
        <w:t>IV – DOS DOCUMENTOS A SEREM APRESENTADOS PELA FUTURA CONTRATADA</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rFonts w:ascii="Arial" w:hAnsi="Arial"/>
          <w:sz w:val="21"/>
          <w:szCs w:val="21"/>
          <w:lang w:val="pt-BR"/>
        </w:rPr>
      </w:pPr>
      <w:r>
        <w:rPr>
          <w:rFonts w:ascii="Arial" w:hAnsi="Arial"/>
          <w:sz w:val="21"/>
          <w:szCs w:val="21"/>
          <w:lang w:val="pt-BR"/>
        </w:rPr>
        <w:t>4.1. Após decisão da autoridade competente, a futura contratada deverá apresentar ao Município os seguintes documentos:</w:t>
      </w:r>
    </w:p>
    <w:p>
      <w:pPr>
        <w:pStyle w:val="Normal"/>
        <w:numPr>
          <w:ilvl w:val="0"/>
          <w:numId w:val="0"/>
        </w:numPr>
        <w:suppressAutoHyphens w:val="false"/>
        <w:spacing w:lineRule="auto" w:line="360" w:before="0" w:after="120"/>
        <w:ind w:left="967" w:right="-2" w:hanging="0"/>
        <w:jc w:val="both"/>
        <w:rPr>
          <w:lang w:val="pt-BR"/>
        </w:rPr>
      </w:pPr>
      <w:r>
        <w:rPr>
          <w:lang w:val="pt-BR"/>
        </w:rPr>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Conjunta Negativa (ou Positiva com Efeitos de Negativa) de Débitos Relativos a Tributos Federais e à Dívida Ativa da União e de contribuições sociais;</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Negativa (ou Positiva com Efeitos de Negativa) de Débitos Estaduais relativos ao Estado sede do proponente;</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Negativa (ou Positiva com Efeitos de Negativa) de Débitos Municipais, relativa ao Município da sede do proponente;</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Prova de regularidade relativa ao Fundo de Garantia por Tempo de Serviço (CRF do FGTS), demonstrando situação regular no cumprimento dos encargos sociais, instituídos por Lei;</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 xml:space="preserve"> </w:t>
      </w:r>
      <w:r>
        <w:rPr>
          <w:rFonts w:eastAsia="Times New Roman" w:cs="Arial" w:ascii="Arial" w:hAnsi="Arial"/>
          <w:b w:val="false"/>
          <w:bCs w:val="false"/>
          <w:kern w:val="0"/>
          <w:sz w:val="21"/>
          <w:szCs w:val="21"/>
          <w:lang w:val="pt-BR" w:eastAsia="ar-SA"/>
        </w:rPr>
        <w:t>Declaração Unificada (conforme modelo anexo)</w:t>
      </w:r>
    </w:p>
    <w:p>
      <w:pPr>
        <w:pStyle w:val="Normal"/>
        <w:numPr>
          <w:ilvl w:val="0"/>
          <w:numId w:val="0"/>
        </w:numPr>
        <w:suppressAutoHyphens w:val="false"/>
        <w:spacing w:lineRule="auto" w:line="360" w:before="0" w:after="120"/>
        <w:ind w:left="967" w:right="-2" w:hanging="0"/>
        <w:jc w:val="both"/>
        <w:rPr>
          <w:lang w:val="pt-BR"/>
        </w:rPr>
      </w:pPr>
      <w:r>
        <w:rPr>
          <w:lang w:val="pt-BR"/>
        </w:rPr>
      </w:r>
    </w:p>
    <w:p>
      <w:pPr>
        <w:pStyle w:val="Normal"/>
        <w:suppressAutoHyphens w:val="true"/>
        <w:spacing w:lineRule="auto" w:line="360" w:before="0" w:after="0"/>
        <w:jc w:val="center"/>
        <w:rPr>
          <w:lang w:val="pt-BR"/>
        </w:rPr>
      </w:pPr>
      <w:r>
        <w:rPr>
          <w:rFonts w:cs="Arial" w:ascii="Arial" w:hAnsi="Arial"/>
          <w:b/>
          <w:sz w:val="21"/>
          <w:szCs w:val="21"/>
          <w:lang w:val="pt-BR"/>
        </w:rPr>
        <w:t>Munic</w:t>
      </w:r>
      <w:r>
        <w:rPr>
          <w:rFonts w:cs="Arial" w:ascii="Arial" w:hAnsi="Arial"/>
          <w:b/>
          <w:color w:val="000000"/>
          <w:sz w:val="21"/>
          <w:szCs w:val="21"/>
          <w:lang w:val="pt-BR"/>
        </w:rPr>
        <w:t>ípio de Lindoia do Sul, 29 de outubro de 2024.</w:t>
      </w:r>
    </w:p>
    <w:p>
      <w:pPr>
        <w:pStyle w:val="Normal"/>
        <w:suppressAutoHyphens w:val="true"/>
        <w:spacing w:lineRule="auto" w:line="360" w:before="0" w:after="0"/>
        <w:jc w:val="center"/>
        <w:rPr>
          <w:rFonts w:ascii="Arial" w:hAnsi="Arial" w:cs="Arial"/>
          <w:b/>
          <w:b/>
          <w:color w:val="000000"/>
          <w:sz w:val="21"/>
          <w:szCs w:val="21"/>
          <w:lang w:val="pt-BR"/>
        </w:rPr>
      </w:pPr>
      <w:r>
        <w:rPr>
          <w:rFonts w:cs="Arial" w:ascii="Arial" w:hAnsi="Arial"/>
          <w:b/>
          <w:color w:val="000000"/>
          <w:sz w:val="21"/>
          <w:szCs w:val="21"/>
          <w:lang w:val="pt-BR"/>
        </w:rPr>
      </w:r>
    </w:p>
    <w:p>
      <w:pPr>
        <w:pStyle w:val="Normal"/>
        <w:suppressAutoHyphens w:val="true"/>
        <w:spacing w:lineRule="auto" w:line="360" w:before="0" w:after="0"/>
        <w:jc w:val="center"/>
        <w:rPr>
          <w:rFonts w:ascii="Arial" w:hAnsi="Arial" w:cs="Arial"/>
          <w:b/>
          <w:b/>
          <w:sz w:val="21"/>
          <w:szCs w:val="21"/>
          <w:lang w:val="pt-BR"/>
        </w:rPr>
      </w:pPr>
      <w:r>
        <w:rPr>
          <w:rFonts w:cs="Arial" w:ascii="Arial" w:hAnsi="Arial"/>
          <w:b/>
          <w:sz w:val="21"/>
          <w:szCs w:val="21"/>
          <w:lang w:val="pt-BR"/>
        </w:rPr>
      </w:r>
    </w:p>
    <w:p>
      <w:pPr>
        <w:pStyle w:val="Normal"/>
        <w:suppressAutoHyphens w:val="true"/>
        <w:spacing w:lineRule="auto" w:line="360" w:before="0" w:after="0"/>
        <w:jc w:val="center"/>
        <w:rPr>
          <w:rFonts w:ascii="Arial" w:hAnsi="Arial" w:cs="Arial"/>
          <w:b/>
          <w:b/>
          <w:sz w:val="21"/>
          <w:szCs w:val="21"/>
          <w:lang w:val="pt-BR"/>
        </w:rPr>
      </w:pPr>
      <w:r>
        <w:rPr>
          <w:rFonts w:cs="Arial" w:ascii="Arial" w:hAnsi="Arial"/>
          <w:b/>
          <w:sz w:val="21"/>
          <w:szCs w:val="21"/>
          <w:lang w:val="pt-BR"/>
        </w:rPr>
      </w:r>
    </w:p>
    <w:p>
      <w:pPr>
        <w:pStyle w:val="Normal"/>
        <w:suppressAutoHyphens w:val="true"/>
        <w:spacing w:lineRule="auto" w:line="360" w:before="0" w:after="0"/>
        <w:jc w:val="center"/>
        <w:rPr>
          <w:rFonts w:ascii="Arial" w:hAnsi="Arial" w:cs="Arial"/>
          <w:b/>
          <w:b/>
          <w:sz w:val="21"/>
          <w:szCs w:val="21"/>
          <w:lang w:val="pt-BR"/>
        </w:rPr>
      </w:pPr>
      <w:r>
        <w:rPr>
          <w:rFonts w:cs="Arial" w:ascii="Arial" w:hAnsi="Arial"/>
          <w:b/>
          <w:sz w:val="21"/>
          <w:szCs w:val="21"/>
          <w:lang w:val="pt-BR"/>
        </w:rPr>
      </w:r>
    </w:p>
    <w:p>
      <w:pPr>
        <w:pStyle w:val="Normal"/>
        <w:widowControl w:val="false"/>
        <w:tabs>
          <w:tab w:val="clear" w:pos="708"/>
          <w:tab w:val="left" w:pos="1701" w:leader="none"/>
        </w:tabs>
        <w:spacing w:lineRule="auto" w:line="360" w:before="0" w:after="0"/>
        <w:jc w:val="center"/>
        <w:textAlignment w:val="baseline"/>
        <w:rPr>
          <w:lang w:val="pt-BR"/>
        </w:rPr>
      </w:pPr>
      <w:r>
        <w:rPr>
          <w:rFonts w:eastAsia="Times New Roman" w:cs="Arial" w:ascii="Arial" w:hAnsi="Arial"/>
          <w:b/>
          <w:color w:val="000000"/>
          <w:sz w:val="21"/>
          <w:szCs w:val="21"/>
          <w:lang w:val="pt-BR" w:eastAsia="pt-BR"/>
        </w:rPr>
        <w:t>Neudi Angelo Bertol</w:t>
      </w:r>
    </w:p>
    <w:p>
      <w:pPr>
        <w:pStyle w:val="Normal"/>
        <w:widowControl w:val="false"/>
        <w:tabs>
          <w:tab w:val="clear" w:pos="708"/>
          <w:tab w:val="left" w:pos="1701" w:leader="none"/>
        </w:tabs>
        <w:spacing w:lineRule="auto" w:line="360" w:before="0" w:after="0"/>
        <w:jc w:val="center"/>
        <w:textAlignment w:val="baseline"/>
        <w:rPr>
          <w:lang w:val="pt-BR"/>
        </w:rPr>
      </w:pPr>
      <w:r>
        <w:rPr>
          <w:rFonts w:eastAsia="Times New Roman" w:cs="Arial" w:ascii="Arial" w:hAnsi="Arial"/>
          <w:b/>
          <w:color w:val="000000"/>
          <w:sz w:val="21"/>
          <w:szCs w:val="21"/>
          <w:lang w:val="pt-BR" w:eastAsia="pt-BR"/>
        </w:rPr>
        <w:t>Prefeito Municipal</w:t>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spacing w:lineRule="auto" w:line="360"/>
        <w:jc w:val="center"/>
        <w:rPr>
          <w:rFonts w:ascii="Arial" w:hAnsi="Arial" w:eastAsia="Times New Roman" w:cs="Arial"/>
          <w:b/>
          <w:b/>
          <w:bCs/>
          <w:color w:val="000000"/>
          <w:kern w:val="2"/>
          <w:sz w:val="24"/>
          <w:szCs w:val="24"/>
          <w:lang w:eastAsia="zh-CN"/>
        </w:rPr>
      </w:pPr>
      <w:r>
        <w:rPr>
          <w:rFonts w:eastAsia="Times New Roman" w:cs="Arial" w:ascii="Arial" w:hAnsi="Arial"/>
          <w:b/>
          <w:bCs/>
          <w:color w:val="000000"/>
          <w:kern w:val="2"/>
          <w:sz w:val="24"/>
          <w:szCs w:val="24"/>
          <w:lang w:eastAsia="zh-CN"/>
        </w:rPr>
        <w:t>DECLARAÇÕES</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pPr>
      <w:r>
        <w:rPr>
          <w:rFonts w:eastAsia="Times New Roman" w:cs="Arial" w:ascii="Arial" w:hAnsi="Arial"/>
          <w:bCs/>
          <w:color w:val="000000"/>
          <w:kern w:val="2"/>
          <w:sz w:val="24"/>
          <w:szCs w:val="24"/>
          <w:lang w:eastAsia="zh-CN"/>
        </w:rPr>
        <w:t xml:space="preserve">A empresa </w:t>
      </w:r>
      <w:r>
        <w:rPr>
          <w:rFonts w:eastAsia="Times New Roman" w:cs="Arial" w:ascii="Arial" w:hAnsi="Arial"/>
          <w:b/>
          <w:bCs/>
          <w:color w:val="000000"/>
          <w:kern w:val="2"/>
          <w:sz w:val="24"/>
          <w:szCs w:val="24"/>
          <w:lang w:eastAsia="zh-CN"/>
        </w:rPr>
        <w:t>______________________________________</w:t>
      </w:r>
      <w:r>
        <w:rPr>
          <w:rFonts w:eastAsia="Times New Roman" w:cs="Arial" w:ascii="Arial" w:hAnsi="Arial"/>
          <w:bCs/>
          <w:color w:val="000000"/>
          <w:kern w:val="2"/>
          <w:sz w:val="24"/>
          <w:szCs w:val="24"/>
          <w:lang w:eastAsia="zh-CN"/>
        </w:rPr>
        <w:t xml:space="preserve">, inscrita no CNPJ sob o nº </w:t>
      </w:r>
      <w:r>
        <w:rPr>
          <w:rFonts w:eastAsia="Times New Roman" w:cs="Arial" w:ascii="Arial" w:hAnsi="Arial"/>
          <w:b/>
          <w:bCs/>
          <w:color w:val="000000"/>
          <w:kern w:val="2"/>
          <w:sz w:val="24"/>
          <w:szCs w:val="24"/>
          <w:lang w:eastAsia="zh-CN"/>
        </w:rPr>
        <w:t>________________________</w:t>
      </w:r>
      <w:r>
        <w:rPr>
          <w:rFonts w:eastAsia="Times New Roman" w:cs="Arial" w:ascii="Arial" w:hAnsi="Arial"/>
          <w:bCs/>
          <w:color w:val="000000"/>
          <w:kern w:val="2"/>
          <w:sz w:val="24"/>
          <w:szCs w:val="24"/>
          <w:lang w:eastAsia="zh-CN"/>
        </w:rPr>
        <w:t xml:space="preserve">, estabelecida na Rua _______________ nº ___, Bairro ____________, Município de ______________-SC por intermédio de seu representante legal Sr.(a) _________________________, portador(a) da Carteira de Identidade nº _______________ e do CPF nº ________________, </w:t>
      </w:r>
      <w:r>
        <w:rPr>
          <w:rFonts w:eastAsia="Times New Roman" w:cs="Arial" w:ascii="Arial" w:hAnsi="Arial"/>
          <w:b/>
          <w:bCs/>
          <w:color w:val="000000"/>
          <w:kern w:val="2"/>
          <w:sz w:val="24"/>
          <w:szCs w:val="24"/>
          <w:lang w:eastAsia="zh-CN"/>
        </w:rPr>
        <w:t>DECLARA:</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Cs/>
          <w:color w:val="000000"/>
          <w:kern w:val="2"/>
          <w:sz w:val="24"/>
          <w:szCs w:val="24"/>
          <w:lang w:eastAsia="zh-CN"/>
        </w:rPr>
        <w:t>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val="false"/>
        <w:numPr>
          <w:ilvl w:val="0"/>
          <w:numId w:val="0"/>
        </w:numPr>
        <w:suppressAutoHyphens w:val="true"/>
        <w:bidi w:val="0"/>
        <w:spacing w:lineRule="auto" w:line="360"/>
        <w:ind w:left="567" w:right="0" w:hanging="0"/>
        <w:jc w:val="both"/>
        <w:rPr>
          <w:rFonts w:ascii="Arial" w:hAnsi="Arial" w:eastAsia="Times New Roman" w:cs="Arial"/>
          <w:b w:val="false"/>
          <w:b w:val="false"/>
          <w:bCs w:val="false"/>
          <w:color w:val="000000"/>
          <w:kern w:val="2"/>
          <w:sz w:val="22"/>
          <w:szCs w:val="22"/>
          <w:lang w:eastAsia="zh-CN"/>
        </w:rPr>
      </w:pPr>
      <w:r>
        <w:rPr>
          <w:rFonts w:eastAsia="Times New Roman" w:cs="Arial" w:ascii="Arial" w:hAnsi="Arial"/>
          <w:b w:val="false"/>
          <w:bCs w:val="false"/>
          <w:color w:val="000000"/>
          <w:kern w:val="2"/>
          <w:sz w:val="22"/>
          <w:szCs w:val="22"/>
          <w:lang w:eastAsia="zh-CN"/>
        </w:rPr>
        <w:t>Ressalva: emprega menor, a partir de quatorze anos, na condição de aprendiz (   ).</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 w:val="false"/>
          <w:bCs/>
          <w:color w:val="000000"/>
          <w:kern w:val="2"/>
          <w:sz w:val="24"/>
          <w:szCs w:val="24"/>
          <w:lang w:eastAsia="zh-CN"/>
        </w:rPr>
        <w:t>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val="false"/>
        <w:numPr>
          <w:ilvl w:val="0"/>
          <w:numId w:val="0"/>
        </w:numPr>
        <w:suppressAutoHyphens w:val="true"/>
        <w:bidi w:val="0"/>
        <w:spacing w:lineRule="auto" w:line="360"/>
        <w:ind w:left="567" w:right="0" w:hanging="0"/>
        <w:jc w:val="both"/>
        <w:rPr/>
      </w:pPr>
      <w:r>
        <w:rPr>
          <w:rFonts w:eastAsia="Times New Roman" w:cs="Arial" w:ascii="Arial" w:hAnsi="Arial"/>
          <w:b w:val="false"/>
          <w:bCs/>
          <w:color w:val="000000"/>
          <w:kern w:val="2"/>
          <w:sz w:val="24"/>
          <w:szCs w:val="24"/>
          <w:lang w:eastAsia="zh-CN"/>
        </w:rPr>
        <w:t>Portanto, inclusive, a empresa declara que também está em conformidade com o que prevê o art. 54 I “a” da Constituição Federal e art. 43 I ”a” e II “a” da Constituição do Estado de Santa Catarina.</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 w:val="false"/>
          <w:bCs/>
          <w:color w:val="000000"/>
          <w:kern w:val="2"/>
          <w:sz w:val="24"/>
          <w:szCs w:val="24"/>
          <w:lang w:eastAsia="zh-CN"/>
        </w:rPr>
        <w:t>Que não foi declarada INIDÔNEA para licitar ou contratar com a Administração Pública, bem como que comunicarei qualquer fato ou evento superveniente à entrega dos documentos de habilitação que venha alterar a atual situação quanto à capacidade jurídica, técnica, regularidade fiscal e idoneidade econômico-financeira.</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Cs/>
          <w:color w:val="000000"/>
          <w:kern w:val="2"/>
          <w:sz w:val="24"/>
          <w:szCs w:val="24"/>
          <w:lang w:eastAsia="zh-CN"/>
        </w:rPr>
        <w:t>Ausência de condenação judicial por exploração de trabalho infantil, por submissão de trabalhadores a condições análogas às de escravo ou por contratação de adolescentes nos casos vedados pela legislação trabalhista.</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Que cumpre as exigências de reserva de cargos para pessoa com deficiência e para reabilitado da Previdência Social, previstas em lei e em outras normas específicas.</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 xml:space="preserve">Que o enquadramento da Receita Bruta do exercício financeiro para empresas de pequeno porte, não atingiu o limite, considerando contratos com a Administração Pública </w:t>
      </w:r>
      <w:r>
        <w:rPr>
          <w:rFonts w:cs="Arial" w:ascii="Arial" w:hAnsi="Arial"/>
          <w:color w:val="000000"/>
          <w:sz w:val="24"/>
          <w:szCs w:val="24"/>
          <w:shd w:fill="FF0000" w:val="clear"/>
        </w:rPr>
        <w:t>(se for o caso)</w:t>
      </w:r>
      <w:r>
        <w:rPr>
          <w:rFonts w:cs="Arial" w:ascii="Arial" w:hAnsi="Arial"/>
          <w:sz w:val="24"/>
          <w:szCs w:val="24"/>
        </w:rPr>
        <w:t>.</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t>Local, ______ de ____________________ de 2024.</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t>(nome e assinatura do responsável legal)</w:t>
      </w:r>
    </w:p>
    <w:p>
      <w:pPr>
        <w:pStyle w:val="Normal"/>
        <w:spacing w:lineRule="auto" w:line="360"/>
        <w:jc w:val="both"/>
        <w:rPr/>
      </w:pPr>
      <w:r>
        <w:rPr>
          <w:rFonts w:eastAsia="Times New Roman" w:cs="Arial" w:ascii="Arial" w:hAnsi="Arial"/>
          <w:b w:val="false"/>
          <w:bCs w:val="false"/>
          <w:color w:val="000000"/>
          <w:kern w:val="2"/>
          <w:sz w:val="24"/>
          <w:szCs w:val="24"/>
          <w:lang w:eastAsia="zh-CN"/>
        </w:rPr>
        <w:t>(número da carteira de identidade e órgão emissor)</w:t>
      </w:r>
    </w:p>
    <w:p>
      <w:pPr>
        <w:pStyle w:val="Normal"/>
        <w:widowControl/>
        <w:suppressAutoHyphens w:val="true"/>
        <w:bidi w:val="0"/>
        <w:spacing w:lineRule="auto" w:line="360" w:before="0" w:after="0"/>
        <w:ind w:left="0" w:right="0" w:hanging="0"/>
        <w:jc w:val="both"/>
        <w:rPr>
          <w:rFonts w:ascii="Arial" w:hAnsi="Arial" w:cs="Arial"/>
          <w:b/>
          <w:b/>
          <w:bCs/>
          <w:sz w:val="21"/>
          <w:szCs w:val="21"/>
        </w:rPr>
      </w:pPr>
      <w:r>
        <w:rPr/>
      </w:r>
    </w:p>
    <w:sectPr>
      <w:headerReference w:type="even" r:id="rId2"/>
      <w:headerReference w:type="default" r:id="rId3"/>
      <w:headerReference w:type="first" r:id="rId4"/>
      <w:footerReference w:type="default" r:id="rId5"/>
      <w:type w:val="nextPage"/>
      <w:pgSz w:w="11906" w:h="16838"/>
      <w:pgMar w:left="1701" w:right="1133" w:gutter="0" w:header="426" w:top="1987"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Wingding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6840855" cy="992505"/>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30" t="-140" r="-30" b="-140"/>
                  <a:stretch>
                    <a:fillRect/>
                  </a:stretch>
                </pic:blipFill>
                <pic:spPr bwMode="auto">
                  <a:xfrm>
                    <a:off x="0" y="0"/>
                    <a:ext cx="6840855" cy="9925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uiPriority w:val="99"/>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qFormat/>
    <w:rsid w:val="007a6e59"/>
    <w:rPr>
      <w:rFonts w:ascii="Times New Roman" w:hAnsi="Times New Roman" w:eastAsia="Times New Roman" w:cs="Times New Roman"/>
      <w:sz w:val="24"/>
      <w:szCs w:val="24"/>
    </w:rPr>
  </w:style>
  <w:style w:type="character" w:styleId="CorpodetextoChar" w:customStyle="1">
    <w:name w:val="Corpo de texto Char"/>
    <w:basedOn w:val="DefaultParagraphFont"/>
    <w:uiPriority w:val="99"/>
    <w:semiHidden/>
    <w:qFormat/>
    <w:rsid w:val="003e1700"/>
    <w:rPr/>
  </w:style>
  <w:style w:type="character" w:styleId="Recuodecorpodetexto2Char" w:customStyle="1">
    <w:name w:val="Recuo de corpo de texto 2 Char"/>
    <w:basedOn w:val="DefaultParagraphFont"/>
    <w:link w:val="BodyTextIndent2"/>
    <w:qFormat/>
    <w:rsid w:val="003e1700"/>
    <w:rPr>
      <w:rFonts w:ascii="Times New Roman" w:hAnsi="Times New Roman" w:eastAsia="Times New Roman" w:cs="Times New Roman"/>
      <w:sz w:val="24"/>
      <w:szCs w:val="24"/>
      <w:lang w:eastAsia="pt-BR"/>
    </w:rPr>
  </w:style>
  <w:style w:type="character" w:styleId="LinkdaInternet">
    <w:name w:val="Hyperlink"/>
    <w:basedOn w:val="DefaultParagraphFont"/>
    <w:uiPriority w:val="99"/>
    <w:unhideWhenUsed/>
    <w:rsid w:val="006b6386"/>
    <w:rPr>
      <w:color w:val="0563C1" w:themeColor="hyperlink"/>
      <w:u w:val="single"/>
    </w:rPr>
  </w:style>
  <w:style w:type="character" w:styleId="UnresolvedMention">
    <w:name w:val="Unresolved Mention"/>
    <w:basedOn w:val="DefaultParagraphFont"/>
    <w:uiPriority w:val="99"/>
    <w:semiHidden/>
    <w:unhideWhenUsed/>
    <w:qFormat/>
    <w:rsid w:val="006b6386"/>
    <w:rPr>
      <w:color w:val="605E5C"/>
      <w:shd w:fill="E1DFDD" w:val="clear"/>
    </w:rPr>
  </w:style>
  <w:style w:type="character" w:styleId="SubtleEmphasis">
    <w:name w:val="Subtle Emphasis"/>
    <w:basedOn w:val="DefaultParagraphFont"/>
    <w:uiPriority w:val="19"/>
    <w:qFormat/>
    <w:rsid w:val="00e67296"/>
    <w:rPr>
      <w:i/>
      <w:iCs/>
      <w:color w:val="404040" w:themeColor="text1" w:themeTint="bf"/>
    </w:rPr>
  </w:style>
  <w:style w:type="character" w:styleId="Annotationreference">
    <w:name w:val="annotation reference"/>
    <w:basedOn w:val="DefaultParagraphFont"/>
    <w:uiPriority w:val="99"/>
    <w:semiHidden/>
    <w:unhideWhenUsed/>
    <w:qFormat/>
    <w:rsid w:val="00000a60"/>
    <w:rPr>
      <w:sz w:val="16"/>
      <w:szCs w:val="16"/>
    </w:rPr>
  </w:style>
  <w:style w:type="character" w:styleId="TextodecomentrioChar" w:customStyle="1">
    <w:name w:val="Texto de comentário Char"/>
    <w:basedOn w:val="DefaultParagraphFont"/>
    <w:link w:val="Annotationtext"/>
    <w:uiPriority w:val="99"/>
    <w:qFormat/>
    <w:rsid w:val="00000a60"/>
    <w:rPr>
      <w:sz w:val="20"/>
      <w:szCs w:val="20"/>
    </w:rPr>
  </w:style>
  <w:style w:type="character" w:styleId="AssuntodocomentrioChar" w:customStyle="1">
    <w:name w:val="Assunto do comentário Char"/>
    <w:basedOn w:val="TextodecomentrioChar"/>
    <w:link w:val="Annotationsubject"/>
    <w:uiPriority w:val="99"/>
    <w:semiHidden/>
    <w:qFormat/>
    <w:rsid w:val="00000a60"/>
    <w:rPr>
      <w:b/>
      <w:bCs/>
      <w:sz w:val="20"/>
      <w:szCs w:val="20"/>
    </w:rPr>
  </w:style>
  <w:style w:type="character" w:styleId="WW8Num12z0">
    <w:name w:val="WW8Num12z0"/>
    <w:qFormat/>
    <w:rPr>
      <w:b w:val="false"/>
    </w:rPr>
  </w:style>
  <w:style w:type="character" w:styleId="WW8Num3z0">
    <w:name w:val="WW8Num3z0"/>
    <w:qFormat/>
    <w:rPr>
      <w:b w:val="false"/>
    </w:rPr>
  </w:style>
  <w:style w:type="character" w:styleId="WW8Num10z0">
    <w:name w:val="WW8Num10z0"/>
    <w:qFormat/>
    <w:rPr>
      <w:b w:val="false"/>
    </w:rPr>
  </w:style>
  <w:style w:type="character" w:styleId="Linkdainternetvisitado">
    <w:name w:val="FollowedHyperlink"/>
    <w:rPr>
      <w:color w:val="954F72"/>
      <w:u w:val="single"/>
    </w:rPr>
  </w:style>
  <w:style w:type="character" w:styleId="Fontepargpadro">
    <w:name w:val="Fonte parág. padrão"/>
    <w:qFormat/>
    <w:rPr/>
  </w:style>
  <w:style w:type="character" w:styleId="WW8Num5z0">
    <w:name w:val="WW8Num5z0"/>
    <w:qFormat/>
    <w:rPr/>
  </w:style>
  <w:style w:type="character" w:styleId="WW8Num2z0">
    <w:name w:val="WW8Num2z0"/>
    <w:qFormat/>
    <w:rPr>
      <w:rFonts w:ascii="Wingdings" w:hAnsi="Wingdings" w:cs="OpenSymbol;Arial Unicode M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semiHidden/>
    <w:unhideWhenUsed/>
    <w:rsid w:val="003e1700"/>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Indent2">
    <w:name w:val="Body Text Indent 2"/>
    <w:basedOn w:val="Normal"/>
    <w:link w:val="Recuodecorpodetexto2Char"/>
    <w:qFormat/>
    <w:rsid w:val="003e1700"/>
    <w:pPr>
      <w:spacing w:lineRule="auto" w:line="480" w:before="0" w:after="120"/>
      <w:ind w:left="283" w:hanging="0"/>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81791b"/>
    <w:pPr>
      <w:spacing w:before="0" w:after="160"/>
      <w:ind w:left="720" w:hanging="0"/>
      <w:contextualSpacing/>
    </w:pPr>
    <w:rPr/>
  </w:style>
  <w:style w:type="paragraph" w:styleId="Annotationtext">
    <w:name w:val="annotation text"/>
    <w:basedOn w:val="Normal"/>
    <w:link w:val="TextodecomentrioChar"/>
    <w:uiPriority w:val="99"/>
    <w:unhideWhenUsed/>
    <w:qFormat/>
    <w:rsid w:val="00000a60"/>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000a60"/>
    <w:pPr/>
    <w:rPr>
      <w:b/>
      <w:bCs/>
    </w:rPr>
  </w:style>
  <w:style w:type="paragraph" w:styleId="PargrafodaLista">
    <w:name w:val="Parágrafo da Lista"/>
    <w:basedOn w:val="Normal"/>
    <w:qFormat/>
    <w:pPr>
      <w:spacing w:before="0" w:after="0"/>
      <w:ind w:left="720" w:right="0" w:hanging="0"/>
      <w:contextualSpacing/>
    </w:pPr>
    <w:rPr/>
  </w:style>
  <w:style w:type="paragraph" w:styleId="Contedodatabela">
    <w:name w:val="Conteúdo da tabela"/>
    <w:basedOn w:val="Normal"/>
    <w:qFormat/>
    <w:pPr>
      <w:suppressLineNumbers/>
    </w:pPr>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SimSun" w:cs="Mangal"/>
      <w:color w:val="00000A"/>
      <w:kern w:val="2"/>
      <w:sz w:val="24"/>
      <w:szCs w:val="24"/>
      <w:lang w:val="pt-BR" w:eastAsia="zh-CN" w:bidi="hi-IN"/>
    </w:rPr>
  </w:style>
  <w:style w:type="paragraph" w:styleId="Corpodetexto21">
    <w:name w:val="Corpo de texto 21"/>
    <w:basedOn w:val="Normal"/>
    <w:qFormat/>
    <w:pPr>
      <w:spacing w:lineRule="auto" w:line="360"/>
      <w:jc w:val="both"/>
    </w:pPr>
    <w:rPr>
      <w:rFonts w:eastAsia="Times New Roman"/>
      <w:color w:val="000000"/>
    </w:rPr>
  </w:style>
  <w:style w:type="numbering" w:styleId="NoList" w:default="1">
    <w:name w:val="No List"/>
    <w:uiPriority w:val="99"/>
    <w:semiHidden/>
    <w:unhideWhenUsed/>
    <w:qFormat/>
  </w:style>
  <w:style w:type="numbering" w:styleId="WW8Num12">
    <w:name w:val="WW8Num12"/>
    <w:qFormat/>
  </w:style>
  <w:style w:type="numbering" w:styleId="WW8Num3">
    <w:name w:val="WW8Num3"/>
    <w:qFormat/>
  </w:style>
  <w:style w:type="numbering" w:styleId="WW8Num10">
    <w:name w:val="WW8Num10"/>
    <w:qFormat/>
  </w:style>
  <w:style w:type="numbering" w:styleId="WW8Num5">
    <w:name w:val="WW8Num5"/>
    <w:qFormat/>
  </w:style>
  <w:style w:type="numbering" w:styleId="WW8Num2">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35F2-7D7D-4585-8BA6-8353DA34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Application>LibreOffice/7.4.2.3$Windows_X86_64 LibreOffice_project/382eef1f22670f7f4118c8c2dd222ec7ad009daf</Application>
  <AppVersion>15.0000</AppVersion>
  <Pages>6</Pages>
  <Words>1467</Words>
  <Characters>8065</Characters>
  <CharactersWithSpaces>9468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CIMCATARINA</dc:creator>
  <dc:description/>
  <dc:language>pt-BR</dc:language>
  <cp:lastModifiedBy/>
  <cp:lastPrinted>2024-08-06T14:25:06Z</cp:lastPrinted>
  <dcterms:modified xsi:type="dcterms:W3CDTF">2024-11-04T08:28:19Z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