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left"/>
        <w:rPr>
          <w:lang w:val="pt-BR"/>
        </w:rPr>
      </w:pPr>
      <w:r>
        <w:rPr>
          <w:rFonts w:ascii="Arial" w:hAnsi="Arial"/>
          <w:b/>
          <w:sz w:val="21"/>
          <w:szCs w:val="21"/>
          <w:lang w:val="pt-BR"/>
        </w:rPr>
        <w:t>PROCESSO LICITATÓRIO Nº 29/2024 - FMS</w:t>
      </w:r>
    </w:p>
    <w:p>
      <w:pPr>
        <w:pStyle w:val="Normal"/>
        <w:spacing w:lineRule="auto" w:line="276" w:before="0" w:after="0"/>
        <w:jc w:val="left"/>
        <w:rPr>
          <w:lang w:val="pt-BR"/>
        </w:rPr>
      </w:pPr>
      <w:r>
        <w:rPr>
          <w:rFonts w:ascii="Arial" w:hAnsi="Arial"/>
          <w:b/>
          <w:sz w:val="21"/>
          <w:szCs w:val="21"/>
          <w:lang w:val="pt-BR"/>
        </w:rPr>
        <w:t>DISPENSA DE LICITAÇÃO Nº 27/2024 - FMS</w:t>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rFonts w:ascii="Arial" w:hAnsi="Arial"/>
          <w:b/>
          <w:b/>
          <w:sz w:val="21"/>
          <w:szCs w:val="21"/>
        </w:rPr>
      </w:pPr>
      <w:r>
        <w:rPr>
          <w:rFonts w:ascii="Arial" w:hAnsi="Arial"/>
          <w:b/>
          <w:sz w:val="21"/>
          <w:szCs w:val="21"/>
        </w:rPr>
      </w:r>
    </w:p>
    <w:p>
      <w:pPr>
        <w:pStyle w:val="Corpodotexto"/>
        <w:spacing w:lineRule="auto" w:line="360" w:before="0" w:after="0"/>
        <w:jc w:val="center"/>
        <w:rPr>
          <w:lang w:val="pt-BR"/>
        </w:rPr>
      </w:pPr>
      <w:r>
        <w:rPr>
          <w:rFonts w:ascii="Arial" w:hAnsi="Arial"/>
          <w:b/>
          <w:sz w:val="21"/>
          <w:szCs w:val="21"/>
          <w:lang w:val="pt-BR"/>
        </w:rPr>
        <w:t>DIVULGAÇÃO DE DISPENSA DE LICITAÇÃO</w:t>
      </w:r>
    </w:p>
    <w:p>
      <w:pPr>
        <w:pStyle w:val="Normal"/>
        <w:spacing w:lineRule="auto" w:line="360" w:before="0" w:after="0"/>
        <w:jc w:val="center"/>
        <w:rPr>
          <w:rFonts w:ascii="Arial" w:hAnsi="Arial"/>
          <w:b/>
          <w:b/>
          <w:sz w:val="21"/>
          <w:szCs w:val="21"/>
        </w:rPr>
      </w:pPr>
      <w:r>
        <w:rPr>
          <w:rFonts w:ascii="Arial" w:hAnsi="Arial"/>
          <w:b/>
          <w:sz w:val="21"/>
          <w:szCs w:val="21"/>
        </w:rPr>
      </w:r>
    </w:p>
    <w:p>
      <w:pPr>
        <w:pStyle w:val="Normal"/>
        <w:spacing w:lineRule="auto" w:line="360" w:before="0" w:after="0"/>
        <w:jc w:val="both"/>
        <w:rPr>
          <w:rFonts w:ascii="Arial" w:hAnsi="Arial"/>
          <w:bCs/>
          <w:iCs/>
          <w:sz w:val="21"/>
          <w:szCs w:val="21"/>
          <w:lang w:val="pt-BR"/>
        </w:rPr>
      </w:pPr>
      <w:r>
        <w:rPr>
          <w:rFonts w:ascii="Arial" w:hAnsi="Arial"/>
          <w:bCs/>
          <w:iCs/>
          <w:sz w:val="21"/>
          <w:szCs w:val="21"/>
          <w:lang w:val="pt-BR"/>
        </w:rPr>
      </w:r>
    </w:p>
    <w:p>
      <w:pPr>
        <w:pStyle w:val="Normal"/>
        <w:spacing w:lineRule="auto" w:line="360" w:before="0" w:after="0"/>
        <w:jc w:val="both"/>
        <w:rPr>
          <w:lang w:val="pt-BR"/>
        </w:rPr>
      </w:pPr>
      <w:r>
        <w:rPr>
          <w:rFonts w:eastAsia="Times New Roman" w:cs="Arial" w:ascii="Arial" w:hAnsi="Arial"/>
          <w:bCs/>
          <w:iCs/>
          <w:sz w:val="21"/>
          <w:szCs w:val="21"/>
          <w:lang w:val="pt-BR" w:eastAsia="pt-BR"/>
        </w:rPr>
        <w:t xml:space="preserve">O Fundo Municipal de Saúde de Lindoia do Sul/SC, Estado de Santa Catarina, inscrito no CNPJ nº 10.429.180/0001-85, </w:t>
      </w:r>
      <w:r>
        <w:rPr>
          <w:rFonts w:ascii="Arial" w:hAnsi="Arial"/>
          <w:iCs/>
          <w:sz w:val="21"/>
          <w:szCs w:val="21"/>
          <w:lang w:val="pt-BR"/>
        </w:rPr>
        <w:t xml:space="preserve">torna público para conhecimento de todos os </w:t>
      </w:r>
      <w:r>
        <w:rPr>
          <w:rFonts w:ascii="Arial" w:hAnsi="Arial"/>
          <w:sz w:val="21"/>
          <w:szCs w:val="21"/>
          <w:lang w:val="pt-BR"/>
        </w:rPr>
        <w:t xml:space="preserve">interessados que realizará processo de dispensa de licitação conforme objeto abaixo, nos termos do art. 75, inciso II, da Lei Federal n. 14.133/2021 e conforme previsto pelo Decreto n. 4.072/2024 do </w:t>
      </w:r>
      <w:r>
        <w:rPr>
          <w:rFonts w:eastAsia="Times New Roman" w:cs="Arial" w:ascii="Arial" w:hAnsi="Arial"/>
          <w:bCs/>
          <w:iCs/>
          <w:sz w:val="21"/>
          <w:szCs w:val="21"/>
          <w:lang w:val="pt-BR" w:eastAsia="pt-BR"/>
        </w:rPr>
        <w:t>Município de Lindoia do Sul/SC</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center"/>
        <w:rPr>
          <w:lang w:val="pt-BR"/>
        </w:rPr>
      </w:pPr>
      <w:r>
        <w:rPr>
          <w:rFonts w:ascii="Arial" w:hAnsi="Arial"/>
          <w:b/>
          <w:sz w:val="21"/>
          <w:szCs w:val="21"/>
          <w:lang w:val="pt-BR"/>
        </w:rPr>
        <w:t>I – DO OBJETO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 xml:space="preserve">1.1. </w:t>
      </w:r>
      <w:r>
        <w:rPr>
          <w:rFonts w:ascii="Arial" w:hAnsi="Arial"/>
          <w:bCs/>
          <w:sz w:val="21"/>
          <w:szCs w:val="21"/>
          <w:lang w:val="pt-BR"/>
        </w:rPr>
        <w:t xml:space="preserve">O objeto deste processo compreende a contratação direta de </w:t>
      </w:r>
      <w:r>
        <w:rPr>
          <w:rFonts w:cs="Arial" w:ascii="Arial" w:hAnsi="Arial"/>
          <w:b w:val="false"/>
          <w:bCs w:val="false"/>
          <w:sz w:val="21"/>
          <w:szCs w:val="21"/>
          <w:lang w:val="pt-BR"/>
        </w:rPr>
        <w:t>empresa para prestação de serviço para manutenção preventiva e corretiva da câmera de refrigeração de vacina, conforme especificações constantes no Termo de Referência.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1.2. Segue a descrição do objeto que se pretende contratar, com valor estimado de referência: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jc w:val="center"/>
        <w:rPr>
          <w:rFonts w:ascii="Arial" w:hAnsi="Arial"/>
          <w:sz w:val="21"/>
          <w:szCs w:val="21"/>
        </w:rPr>
      </w:pPr>
      <w:r>
        <w:rPr>
          <w:rFonts w:ascii="Arial" w:hAnsi="Arial"/>
          <w:sz w:val="21"/>
          <w:szCs w:val="21"/>
        </w:rPr>
      </w:r>
    </w:p>
    <w:tbl>
      <w:tblPr>
        <w:tblW w:w="9262" w:type="dxa"/>
        <w:jc w:val="left"/>
        <w:tblInd w:w="-80" w:type="dxa"/>
        <w:tblLayout w:type="fixed"/>
        <w:tblCellMar>
          <w:top w:w="0" w:type="dxa"/>
          <w:left w:w="70" w:type="dxa"/>
          <w:bottom w:w="0" w:type="dxa"/>
          <w:right w:w="70" w:type="dxa"/>
        </w:tblCellMar>
      </w:tblPr>
      <w:tblGrid>
        <w:gridCol w:w="679"/>
        <w:gridCol w:w="638"/>
        <w:gridCol w:w="791"/>
        <w:gridCol w:w="4355"/>
        <w:gridCol w:w="1475"/>
        <w:gridCol w:w="1323"/>
      </w:tblGrid>
      <w:tr>
        <w:trPr>
          <w:trHeight w:val="567" w:hRule="atLeast"/>
        </w:trPr>
        <w:tc>
          <w:tcPr>
            <w:tcW w:w="679"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ITEM</w:t>
            </w:r>
          </w:p>
        </w:tc>
        <w:tc>
          <w:tcPr>
            <w:tcW w:w="638" w:type="dxa"/>
            <w:tcBorders>
              <w:top w:val="single" w:sz="8" w:space="0" w:color="000000"/>
              <w:bottom w:val="single" w:sz="8" w:space="0" w:color="000000"/>
              <w:right w:val="single" w:sz="8"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QTD</w:t>
            </w:r>
          </w:p>
        </w:tc>
        <w:tc>
          <w:tcPr>
            <w:tcW w:w="791" w:type="dxa"/>
            <w:tcBorders>
              <w:top w:val="single" w:sz="8" w:space="0" w:color="000000"/>
              <w:bottom w:val="single" w:sz="8" w:space="0" w:color="000000"/>
              <w:right w:val="single" w:sz="8"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UNIDADE</w:t>
            </w:r>
          </w:p>
        </w:tc>
        <w:tc>
          <w:tcPr>
            <w:tcW w:w="4355" w:type="dxa"/>
            <w:tcBorders>
              <w:top w:val="single" w:sz="8" w:space="0" w:color="000000"/>
              <w:bottom w:val="single" w:sz="8" w:space="0" w:color="000000"/>
              <w:right w:val="single" w:sz="4"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DESCRIÇÃO</w:t>
            </w:r>
          </w:p>
        </w:tc>
        <w:tc>
          <w:tcPr>
            <w:tcW w:w="1475"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PREÇO ESTIMADO UNITÁRIO (R$)</w:t>
            </w:r>
          </w:p>
        </w:tc>
        <w:tc>
          <w:tcPr>
            <w:tcW w:w="1323" w:type="dxa"/>
            <w:tcBorders>
              <w:top w:val="single" w:sz="8" w:space="0" w:color="000000"/>
              <w:bottom w:val="single" w:sz="8" w:space="0" w:color="000000"/>
              <w:right w:val="single" w:sz="8"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PREÇO</w:t>
            </w:r>
          </w:p>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ESTIMADO</w:t>
            </w:r>
          </w:p>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TOTAL (R$)</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01</w:t>
            </w:r>
          </w:p>
        </w:tc>
        <w:tc>
          <w:tcPr>
            <w:tcW w:w="638" w:type="dxa"/>
            <w:tcBorders>
              <w:bottom w:val="single" w:sz="8" w:space="0" w:color="000000"/>
              <w:right w:val="single" w:sz="8" w:space="0" w:color="000000"/>
            </w:tcBorders>
            <w:vAlign w:val="center"/>
          </w:tcPr>
          <w:p>
            <w:pPr>
              <w:pStyle w:val="Normal"/>
              <w:widowControl w:val="false"/>
              <w:tabs>
                <w:tab w:val="clear" w:pos="708"/>
              </w:tabs>
              <w:spacing w:lineRule="auto" w:line="240" w:before="0" w:after="0"/>
              <w:ind w:left="0" w:right="0" w:hanging="0"/>
              <w:jc w:val="center"/>
              <w:rPr>
                <w:rFonts w:ascii="Arial" w:hAnsi="Arial" w:cs="Arial"/>
                <w:sz w:val="21"/>
                <w:szCs w:val="21"/>
              </w:rPr>
            </w:pPr>
            <w:r>
              <w:rPr>
                <w:rFonts w:cs="Arial" w:ascii="Arial" w:hAnsi="Arial"/>
                <w:sz w:val="21"/>
                <w:szCs w:val="21"/>
              </w:rPr>
              <w:t>04</w:t>
            </w:r>
          </w:p>
        </w:tc>
        <w:tc>
          <w:tcPr>
            <w:tcW w:w="791" w:type="dxa"/>
            <w:tcBorders>
              <w:bottom w:val="single" w:sz="8" w:space="0" w:color="000000"/>
              <w:right w:val="single" w:sz="8" w:space="0" w:color="000000"/>
            </w:tcBorders>
            <w:vAlign w:val="center"/>
          </w:tcPr>
          <w:p>
            <w:pPr>
              <w:pStyle w:val="Normal"/>
              <w:widowControl w:val="false"/>
              <w:tabs>
                <w:tab w:val="clear" w:pos="708"/>
              </w:tabs>
              <w:spacing w:lineRule="auto" w:line="240" w:before="0" w:after="0"/>
              <w:ind w:left="0" w:right="0" w:hanging="0"/>
              <w:jc w:val="center"/>
              <w:rPr>
                <w:rFonts w:ascii="Arial" w:hAnsi="Arial" w:cs="Arial"/>
                <w:sz w:val="21"/>
                <w:szCs w:val="21"/>
              </w:rPr>
            </w:pPr>
            <w:r>
              <w:rPr>
                <w:rFonts w:cs="Arial" w:ascii="Arial" w:hAnsi="Arial"/>
                <w:sz w:val="21"/>
                <w:szCs w:val="21"/>
              </w:rPr>
              <w:t>Serv.</w:t>
            </w:r>
          </w:p>
        </w:tc>
        <w:tc>
          <w:tcPr>
            <w:tcW w:w="4355" w:type="dxa"/>
            <w:tcBorders>
              <w:bottom w:val="single" w:sz="8" w:space="0" w:color="000000"/>
              <w:right w:val="single" w:sz="4" w:space="0" w:color="000000"/>
            </w:tcBorders>
            <w:vAlign w:val="center"/>
          </w:tcPr>
          <w:p>
            <w:pPr>
              <w:pStyle w:val="Normal"/>
              <w:widowControl w:val="false"/>
              <w:tabs>
                <w:tab w:val="clear" w:pos="708"/>
              </w:tabs>
              <w:spacing w:lineRule="auto" w:line="240" w:before="0" w:after="0"/>
              <w:ind w:left="0" w:right="0" w:hanging="0"/>
              <w:jc w:val="both"/>
              <w:rPr>
                <w:rFonts w:ascii="Arial" w:hAnsi="Arial" w:cs="Arial"/>
                <w:sz w:val="21"/>
                <w:szCs w:val="21"/>
              </w:rPr>
            </w:pPr>
            <w:r>
              <w:rPr>
                <w:rFonts w:cs="Arial" w:ascii="Arial" w:hAnsi="Arial"/>
                <w:sz w:val="21"/>
                <w:szCs w:val="21"/>
              </w:rPr>
              <w:t>Manutenção preventiva e revisão do sistema eletrônico, refrigeração e estrutural dos equipamentos Câmara de Conservação de Vacinas. Recalibração do sensor controlador de temperatura, através de calibrador mestre certificado via RBC (Rede Brasileira de Calibração).</w:t>
            </w:r>
          </w:p>
        </w:tc>
        <w:tc>
          <w:tcPr>
            <w:tcW w:w="1475" w:type="dxa"/>
            <w:tcBorders>
              <w:left w:val="single" w:sz="4" w:space="0" w:color="000000"/>
              <w:bottom w:val="single" w:sz="8" w:space="0" w:color="000000"/>
              <w:right w:val="single" w:sz="8" w:space="0" w:color="000000"/>
            </w:tcBorders>
            <w:vAlign w:val="center"/>
          </w:tcPr>
          <w:p>
            <w:pPr>
              <w:pStyle w:val="Normal"/>
              <w:widowControl w:val="false"/>
              <w:tabs>
                <w:tab w:val="clear" w:pos="708"/>
              </w:tabs>
              <w:spacing w:lineRule="auto" w:line="240" w:before="0" w:after="0"/>
              <w:ind w:left="0" w:right="0" w:hanging="0"/>
              <w:jc w:val="right"/>
              <w:rPr>
                <w:rFonts w:ascii="Arial" w:hAnsi="Arial" w:cs="Arial"/>
                <w:sz w:val="21"/>
                <w:szCs w:val="21"/>
              </w:rPr>
            </w:pPr>
            <w:r>
              <w:rPr>
                <w:rFonts w:cs="Arial" w:ascii="Arial" w:hAnsi="Arial"/>
                <w:sz w:val="21"/>
                <w:szCs w:val="21"/>
              </w:rPr>
              <w:t>1.380,00</w:t>
            </w:r>
          </w:p>
        </w:tc>
        <w:tc>
          <w:tcPr>
            <w:tcW w:w="1323" w:type="dxa"/>
            <w:tcBorders>
              <w:bottom w:val="single" w:sz="8" w:space="0" w:color="000000"/>
              <w:right w:val="single" w:sz="8" w:space="0" w:color="000000"/>
            </w:tcBorders>
            <w:vAlign w:val="center"/>
          </w:tcPr>
          <w:p>
            <w:pPr>
              <w:pStyle w:val="Normal"/>
              <w:widowControl w:val="false"/>
              <w:tabs>
                <w:tab w:val="clear" w:pos="708"/>
              </w:tabs>
              <w:spacing w:lineRule="auto" w:line="240" w:before="0" w:after="0"/>
              <w:ind w:left="0" w:right="0" w:hanging="0"/>
              <w:jc w:val="right"/>
              <w:rPr>
                <w:rFonts w:ascii="Arial" w:hAnsi="Arial" w:cs="Arial"/>
                <w:sz w:val="21"/>
                <w:szCs w:val="21"/>
              </w:rPr>
            </w:pPr>
            <w:r>
              <w:rPr>
                <w:rFonts w:cs="Arial" w:ascii="Arial" w:hAnsi="Arial"/>
                <w:sz w:val="21"/>
                <w:szCs w:val="21"/>
              </w:rPr>
              <w:t xml:space="preserve"> </w:t>
            </w:r>
            <w:r>
              <w:rPr>
                <w:rFonts w:cs="Arial" w:ascii="Arial" w:hAnsi="Arial"/>
                <w:sz w:val="21"/>
                <w:szCs w:val="21"/>
              </w:rPr>
              <w:t>5.520,00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02</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04</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Bateria 12v 185 Ah Estacionaria Original</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2.790,00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11.160,00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03</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eastAsia="Arial" w:cs="Arial"/>
                <w:color w:val="auto"/>
                <w:kern w:val="2"/>
                <w:sz w:val="21"/>
                <w:szCs w:val="21"/>
                <w:lang w:val="pt-BR" w:eastAsia="zh-CN" w:bidi="hi-IN"/>
              </w:rPr>
            </w:pPr>
            <w:r>
              <w:rPr>
                <w:rFonts w:eastAsia="Arial" w:cs="Arial" w:ascii="Arial" w:hAnsi="Arial"/>
                <w:color w:val="auto"/>
                <w:kern w:val="2"/>
                <w:sz w:val="21"/>
                <w:szCs w:val="21"/>
                <w:lang w:val="pt-BR" w:eastAsia="zh-CN" w:bidi="hi-IN"/>
              </w:rPr>
              <w:t>Carregador de bateria (chaveado)</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682,00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1.364,00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04</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eastAsia="Arial" w:cs="Arial"/>
                <w:color w:val="auto"/>
                <w:kern w:val="2"/>
                <w:sz w:val="21"/>
                <w:szCs w:val="21"/>
                <w:lang w:val="pt-BR" w:eastAsia="zh-CN" w:bidi="hi-IN"/>
              </w:rPr>
            </w:pPr>
            <w:r>
              <w:rPr>
                <w:rFonts w:eastAsia="Arial" w:cs="Arial" w:ascii="Arial" w:hAnsi="Arial"/>
                <w:color w:val="auto"/>
                <w:kern w:val="2"/>
                <w:sz w:val="21"/>
                <w:szCs w:val="21"/>
                <w:lang w:val="pt-BR" w:eastAsia="zh-CN" w:bidi="hi-IN"/>
              </w:rPr>
              <w:t>Fonte chaveada 50 AH</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528,00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 xml:space="preserve"> </w:t>
            </w:r>
            <w:r>
              <w:rPr>
                <w:rFonts w:cs="Arial" w:ascii="Arial" w:hAnsi="Arial"/>
                <w:sz w:val="21"/>
                <w:szCs w:val="21"/>
              </w:rPr>
              <w:t>1.056,00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05</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Gás refrigerante R134a</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 xml:space="preserve"> </w:t>
            </w:r>
            <w:r>
              <w:rPr>
                <w:rFonts w:cs="Arial" w:ascii="Arial" w:hAnsi="Arial"/>
                <w:sz w:val="21"/>
                <w:szCs w:val="21"/>
              </w:rPr>
              <w:t>572,00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1.144,00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06</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Filtro Secador</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 xml:space="preserve"> </w:t>
            </w:r>
            <w:r>
              <w:rPr>
                <w:rFonts w:cs="Arial" w:ascii="Arial" w:hAnsi="Arial"/>
                <w:sz w:val="21"/>
                <w:szCs w:val="21"/>
              </w:rPr>
              <w:t>82,50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165,00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07</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Inversor 1500 Wats</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1.985,50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3.971,00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08</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Kit Placas atualização de Sistema RM</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4.180,00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8.360,00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09</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Sensor NTC de Temperatura</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 xml:space="preserve"> </w:t>
            </w:r>
            <w:r>
              <w:rPr>
                <w:rFonts w:cs="Arial" w:ascii="Arial" w:hAnsi="Arial"/>
                <w:sz w:val="21"/>
                <w:szCs w:val="21"/>
              </w:rPr>
              <w:t>308,00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 xml:space="preserve"> </w:t>
            </w:r>
            <w:r>
              <w:rPr>
                <w:rFonts w:cs="Arial" w:ascii="Arial" w:hAnsi="Arial"/>
                <w:sz w:val="21"/>
                <w:szCs w:val="21"/>
              </w:rPr>
              <w:t>616,00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10</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Motor de ventilação grande 1300 RPM 110 V</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539,00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1.078,00</w:t>
            </w:r>
          </w:p>
        </w:tc>
      </w:tr>
      <w:tr>
        <w:trPr>
          <w:trHeight w:val="430" w:hRule="atLeast"/>
        </w:trPr>
        <w:tc>
          <w:tcPr>
            <w:tcW w:w="67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eastAsia="Times New Roman" w:cs="Arial"/>
                <w:b/>
                <w:b/>
                <w:color w:val="000000"/>
                <w:sz w:val="21"/>
                <w:szCs w:val="21"/>
                <w:lang w:eastAsia="pt-BR"/>
              </w:rPr>
            </w:pPr>
            <w:r>
              <w:rPr>
                <w:rFonts w:eastAsia="Times New Roman" w:cs="Arial" w:ascii="Arial" w:hAnsi="Arial"/>
                <w:b/>
                <w:color w:val="000000"/>
                <w:sz w:val="21"/>
                <w:szCs w:val="21"/>
                <w:lang w:eastAsia="pt-BR"/>
              </w:rPr>
              <w:t>11</w:t>
            </w:r>
          </w:p>
        </w:tc>
        <w:tc>
          <w:tcPr>
            <w:tcW w:w="638"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02</w:t>
            </w:r>
          </w:p>
        </w:tc>
        <w:tc>
          <w:tcPr>
            <w:tcW w:w="791"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center"/>
              <w:rPr>
                <w:rFonts w:ascii="Arial" w:hAnsi="Arial" w:cs="Arial"/>
                <w:sz w:val="21"/>
                <w:szCs w:val="21"/>
              </w:rPr>
            </w:pPr>
            <w:r>
              <w:rPr>
                <w:rFonts w:cs="Arial" w:ascii="Arial" w:hAnsi="Arial"/>
                <w:sz w:val="21"/>
                <w:szCs w:val="21"/>
              </w:rPr>
              <w:t>Unid</w:t>
            </w:r>
          </w:p>
        </w:tc>
        <w:tc>
          <w:tcPr>
            <w:tcW w:w="4355" w:type="dxa"/>
            <w:tcBorders>
              <w:bottom w:val="single" w:sz="8" w:space="0" w:color="000000"/>
              <w:right w:val="single" w:sz="4" w:space="0" w:color="000000"/>
            </w:tcBorders>
            <w:vAlign w:val="center"/>
          </w:tcPr>
          <w:p>
            <w:pPr>
              <w:pStyle w:val="Normal"/>
              <w:widowControl w:val="false"/>
              <w:spacing w:lineRule="auto" w:line="240" w:before="0" w:after="0"/>
              <w:ind w:left="0" w:right="0" w:hanging="0"/>
              <w:jc w:val="both"/>
              <w:rPr>
                <w:rFonts w:ascii="Arial" w:hAnsi="Arial" w:cs="Arial"/>
                <w:sz w:val="21"/>
                <w:szCs w:val="21"/>
              </w:rPr>
            </w:pPr>
            <w:r>
              <w:rPr>
                <w:rFonts w:cs="Arial" w:ascii="Arial" w:hAnsi="Arial"/>
                <w:sz w:val="21"/>
                <w:szCs w:val="21"/>
              </w:rPr>
              <w:t>Motor de ventilação (12x12)</w:t>
            </w:r>
          </w:p>
        </w:tc>
        <w:tc>
          <w:tcPr>
            <w:tcW w:w="1475" w:type="dxa"/>
            <w:tcBorders>
              <w:left w:val="single" w:sz="4" w:space="0" w:color="000000"/>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748,00</w:t>
            </w:r>
          </w:p>
        </w:tc>
        <w:tc>
          <w:tcPr>
            <w:tcW w:w="1323" w:type="dxa"/>
            <w:tcBorders>
              <w:bottom w:val="single" w:sz="8" w:space="0" w:color="000000"/>
              <w:right w:val="single" w:sz="8" w:space="0" w:color="000000"/>
            </w:tcBorders>
            <w:vAlign w:val="center"/>
          </w:tcPr>
          <w:p>
            <w:pPr>
              <w:pStyle w:val="Normal"/>
              <w:widowControl w:val="false"/>
              <w:spacing w:lineRule="auto" w:line="240" w:before="0" w:after="0"/>
              <w:ind w:left="0" w:right="0" w:hanging="0"/>
              <w:jc w:val="right"/>
              <w:rPr>
                <w:rFonts w:ascii="Arial" w:hAnsi="Arial" w:cs="Arial"/>
                <w:sz w:val="21"/>
                <w:szCs w:val="21"/>
              </w:rPr>
            </w:pPr>
            <w:r>
              <w:rPr>
                <w:rFonts w:cs="Arial" w:ascii="Arial" w:hAnsi="Arial"/>
                <w:sz w:val="21"/>
                <w:szCs w:val="21"/>
              </w:rPr>
              <w:t>1.496,00</w:t>
            </w:r>
          </w:p>
        </w:tc>
      </w:tr>
      <w:tr>
        <w:trPr>
          <w:trHeight w:val="592" w:hRule="atLeast"/>
        </w:trPr>
        <w:tc>
          <w:tcPr>
            <w:tcW w:w="6463" w:type="dxa"/>
            <w:gridSpan w:val="4"/>
            <w:tcBorders>
              <w:top w:val="single" w:sz="4" w:space="0" w:color="000000"/>
            </w:tcBorders>
            <w:vAlign w:val="center"/>
          </w:tcPr>
          <w:p>
            <w:pPr>
              <w:pStyle w:val="Normal"/>
              <w:widowControl w:val="false"/>
              <w:tabs>
                <w:tab w:val="clear" w:pos="708"/>
              </w:tabs>
              <w:spacing w:lineRule="auto" w:line="240" w:before="0" w:after="0"/>
              <w:ind w:left="0" w:right="0" w:hanging="0"/>
              <w:jc w:val="both"/>
              <w:rPr>
                <w:rFonts w:ascii="Arial" w:hAnsi="Arial" w:eastAsia="Times New Roman" w:cs="Arial"/>
                <w:color w:val="000000"/>
                <w:sz w:val="20"/>
                <w:szCs w:val="20"/>
                <w:shd w:fill="FFFF00" w:val="clear"/>
                <w:lang w:eastAsia="pt-BR"/>
              </w:rPr>
            </w:pPr>
            <w:r>
              <w:rPr>
                <w:rFonts w:eastAsia="Times New Roman" w:cs="Arial" w:ascii="Arial" w:hAnsi="Arial"/>
                <w:color w:val="000000"/>
                <w:sz w:val="20"/>
                <w:szCs w:val="20"/>
                <w:shd w:fill="FFFF00" w:val="clear"/>
                <w:lang w:eastAsia="pt-BR"/>
              </w:rPr>
            </w:r>
          </w:p>
        </w:tc>
        <w:tc>
          <w:tcPr>
            <w:tcW w:w="1475"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tabs>
                <w:tab w:val="clear" w:pos="708"/>
              </w:tabs>
              <w:spacing w:lineRule="auto" w:line="240" w:before="0" w:after="0"/>
              <w:ind w:left="0" w:right="0" w:hanging="0"/>
              <w:jc w:val="center"/>
              <w:rPr>
                <w:rFonts w:ascii="Arial" w:hAnsi="Arial" w:eastAsia="Times New Roman" w:cs="Arial"/>
                <w:b/>
                <w:b/>
                <w:color w:val="000000"/>
                <w:sz w:val="18"/>
                <w:szCs w:val="18"/>
                <w:lang w:eastAsia="pt-BR"/>
              </w:rPr>
            </w:pPr>
            <w:r>
              <w:rPr>
                <w:rFonts w:eastAsia="Times New Roman" w:cs="Arial" w:ascii="Arial" w:hAnsi="Arial"/>
                <w:b/>
                <w:color w:val="000000"/>
                <w:sz w:val="18"/>
                <w:szCs w:val="18"/>
                <w:lang w:eastAsia="pt-BR"/>
              </w:rPr>
              <w:t>VALOR TOTAL DA CONTR.</w:t>
            </w:r>
          </w:p>
        </w:tc>
        <w:tc>
          <w:tcPr>
            <w:tcW w:w="1323" w:type="dxa"/>
            <w:tcBorders>
              <w:top w:val="single" w:sz="8" w:space="0" w:color="000000"/>
              <w:bottom w:val="single" w:sz="8" w:space="0" w:color="000000"/>
              <w:right w:val="single" w:sz="8" w:space="0" w:color="000000"/>
            </w:tcBorders>
            <w:vAlign w:val="center"/>
          </w:tcPr>
          <w:p>
            <w:pPr>
              <w:pStyle w:val="Normal"/>
              <w:widowControl w:val="false"/>
              <w:tabs>
                <w:tab w:val="clear" w:pos="708"/>
              </w:tabs>
              <w:spacing w:lineRule="auto" w:line="240" w:before="0" w:after="0"/>
              <w:ind w:left="0" w:right="0" w:hanging="0"/>
              <w:jc w:val="right"/>
              <w:rPr>
                <w:rFonts w:ascii="Arial" w:hAnsi="Arial" w:cs="Arial"/>
                <w:b/>
                <w:b/>
                <w:sz w:val="20"/>
                <w:szCs w:val="20"/>
              </w:rPr>
            </w:pPr>
            <w:r>
              <w:rPr>
                <w:rFonts w:cs="Arial" w:ascii="Arial" w:hAnsi="Arial"/>
                <w:b/>
                <w:sz w:val="20"/>
                <w:szCs w:val="20"/>
              </w:rPr>
              <w:t>35.930,00</w:t>
            </w:r>
          </w:p>
        </w:tc>
      </w:tr>
    </w:tbl>
    <w:p>
      <w:pPr>
        <w:pStyle w:val="Normal"/>
        <w:spacing w:lineRule="auto" w:line="360" w:before="0" w:after="0"/>
        <w:jc w:val="center"/>
        <w:rPr>
          <w:rFonts w:ascii="Arial" w:hAnsi="Arial"/>
          <w:sz w:val="21"/>
          <w:szCs w:val="21"/>
        </w:rPr>
      </w:pPr>
      <w:r>
        <w:rPr>
          <w:rFonts w:ascii="Arial" w:hAnsi="Arial"/>
          <w:b/>
          <w:sz w:val="21"/>
          <w:szCs w:val="21"/>
          <w:lang w:val="pt-BR"/>
        </w:rPr>
        <w:t>II – DO PRAZO DA DIVULGAÇÃO</w:t>
      </w:r>
    </w:p>
    <w:p>
      <w:pPr>
        <w:pStyle w:val="Normal"/>
        <w:spacing w:lineRule="auto" w:line="360" w:before="0" w:after="0"/>
        <w:jc w:val="both"/>
        <w:rPr>
          <w:rFonts w:ascii="Arial" w:hAnsi="Arial"/>
          <w:bCs/>
          <w:sz w:val="21"/>
          <w:szCs w:val="21"/>
          <w:lang w:val="pt-BR"/>
        </w:rPr>
      </w:pPr>
      <w:r>
        <w:rPr>
          <w:rFonts w:ascii="Arial" w:hAnsi="Arial"/>
          <w:bCs/>
          <w:sz w:val="21"/>
          <w:szCs w:val="21"/>
          <w:lang w:val="pt-BR"/>
        </w:rPr>
      </w:r>
    </w:p>
    <w:p>
      <w:pPr>
        <w:pStyle w:val="Normal"/>
        <w:spacing w:lineRule="auto" w:line="360" w:before="0" w:after="0"/>
        <w:jc w:val="both"/>
        <w:rPr>
          <w:lang w:val="pt-BR"/>
        </w:rPr>
      </w:pPr>
      <w:r>
        <w:rPr>
          <w:rFonts w:ascii="Arial" w:hAnsi="Arial"/>
          <w:bCs/>
          <w:sz w:val="21"/>
          <w:szCs w:val="21"/>
          <w:lang w:val="pt-BR"/>
        </w:rPr>
        <w:t>2.1. O prazo para apresentação de propostas adicionais pelos eventuais interessados inicia em 1</w:t>
      </w:r>
      <w:r>
        <w:rPr>
          <w:rFonts w:ascii="Arial" w:hAnsi="Arial"/>
          <w:bCs/>
          <w:sz w:val="21"/>
          <w:szCs w:val="21"/>
          <w:lang w:val="pt-BR"/>
        </w:rPr>
        <w:t>6</w:t>
      </w:r>
      <w:r>
        <w:rPr>
          <w:rFonts w:ascii="Arial" w:hAnsi="Arial"/>
          <w:bCs/>
          <w:sz w:val="21"/>
          <w:szCs w:val="21"/>
          <w:lang w:val="pt-BR"/>
        </w:rPr>
        <w:t xml:space="preserve"> </w:t>
      </w:r>
      <w:r>
        <w:rPr>
          <w:rFonts w:ascii="Arial" w:hAnsi="Arial"/>
          <w:bCs/>
          <w:sz w:val="21"/>
          <w:szCs w:val="21"/>
          <w:shd w:fill="auto" w:val="clear"/>
          <w:lang w:val="pt-BR"/>
        </w:rPr>
        <w:t xml:space="preserve">de outubro </w:t>
      </w:r>
      <w:r>
        <w:rPr>
          <w:rFonts w:ascii="Arial" w:hAnsi="Arial"/>
          <w:bCs/>
          <w:color w:val="000000"/>
          <w:sz w:val="21"/>
          <w:szCs w:val="21"/>
          <w:shd w:fill="auto" w:val="clear"/>
          <w:lang w:val="pt-BR"/>
        </w:rPr>
        <w:t>de 2024 e encerra em 1</w:t>
      </w:r>
      <w:r>
        <w:rPr>
          <w:rFonts w:ascii="Arial" w:hAnsi="Arial"/>
          <w:bCs/>
          <w:color w:val="000000"/>
          <w:sz w:val="21"/>
          <w:szCs w:val="21"/>
          <w:shd w:fill="auto" w:val="clear"/>
          <w:lang w:val="pt-BR"/>
        </w:rPr>
        <w:t>8</w:t>
      </w:r>
      <w:r>
        <w:rPr>
          <w:rFonts w:ascii="Arial" w:hAnsi="Arial"/>
          <w:bCs/>
          <w:color w:val="000000"/>
          <w:sz w:val="21"/>
          <w:szCs w:val="21"/>
          <w:shd w:fill="auto" w:val="clear"/>
          <w:lang w:val="pt-BR"/>
        </w:rPr>
        <w:t xml:space="preserve"> de outubro de 2024.</w:t>
      </w:r>
    </w:p>
    <w:p>
      <w:pPr>
        <w:pStyle w:val="Normal"/>
        <w:spacing w:lineRule="auto" w:line="360" w:before="0" w:after="0"/>
        <w:jc w:val="both"/>
        <w:rPr>
          <w:lang w:val="pt-BR"/>
        </w:rPr>
      </w:pPr>
      <w:r>
        <w:rPr>
          <w:lang w:val="pt-BR"/>
        </w:rPr>
      </w:r>
    </w:p>
    <w:p>
      <w:pPr>
        <w:pStyle w:val="Normal"/>
        <w:spacing w:lineRule="auto" w:line="360" w:before="0" w:after="0"/>
        <w:jc w:val="center"/>
        <w:rPr>
          <w:lang w:val="pt-BR"/>
        </w:rPr>
      </w:pPr>
      <w:r>
        <w:rPr>
          <w:rFonts w:ascii="Arial" w:hAnsi="Arial"/>
          <w:b/>
          <w:sz w:val="21"/>
          <w:szCs w:val="21"/>
          <w:lang w:val="pt-BR"/>
        </w:rPr>
        <w:t>III – DO PROCEDIMENTO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pPr>
      <w:r>
        <w:rPr>
          <w:rFonts w:ascii="Arial" w:hAnsi="Arial"/>
          <w:sz w:val="21"/>
          <w:szCs w:val="21"/>
          <w:lang w:val="pt-BR"/>
        </w:rPr>
        <w:t xml:space="preserve">3.1. Os eventuais interessados deverão encaminhar suas propostas para o endereço eletrônico </w:t>
      </w:r>
      <w:r>
        <w:rPr>
          <w:rStyle w:val="LinkdaInternet"/>
          <w:rFonts w:ascii="Arial" w:hAnsi="Arial"/>
          <w:sz w:val="21"/>
          <w:szCs w:val="21"/>
          <w:lang w:val="pt-BR"/>
        </w:rPr>
        <w:t>licita@lindoiadosul.sc.gov.br</w:t>
      </w:r>
      <w:r>
        <w:rPr>
          <w:rFonts w:ascii="Arial" w:hAnsi="Arial"/>
          <w:sz w:val="21"/>
          <w:szCs w:val="21"/>
          <w:lang w:val="pt-BR"/>
        </w:rPr>
        <w:t xml:space="preserve"> no prazo supracitado, as quais observarão o disposto a seguir:</w:t>
      </w:r>
    </w:p>
    <w:p>
      <w:pPr>
        <w:pStyle w:val="Normal"/>
        <w:spacing w:lineRule="auto" w:line="360" w:before="0" w:after="0"/>
        <w:ind w:left="567" w:hanging="0"/>
        <w:jc w:val="both"/>
        <w:rPr>
          <w:lang w:val="pt-BR"/>
        </w:rPr>
      </w:pPr>
      <w:r>
        <w:rPr>
          <w:rFonts w:ascii="Arial" w:hAnsi="Arial"/>
          <w:sz w:val="21"/>
          <w:szCs w:val="21"/>
          <w:lang w:val="pt-BR"/>
        </w:rPr>
        <w:t xml:space="preserve">a) conter o nome do proponente, endereço, identificação (individual ou social), o nº do CNPJ e da Inscrição Estadual, número de telefone, e e-mail; </w:t>
      </w:r>
    </w:p>
    <w:p>
      <w:pPr>
        <w:pStyle w:val="Normal"/>
        <w:spacing w:lineRule="auto" w:line="360" w:before="0" w:after="0"/>
        <w:ind w:left="567" w:hanging="0"/>
        <w:jc w:val="both"/>
        <w:rPr>
          <w:lang w:val="pt-BR"/>
        </w:rPr>
      </w:pPr>
      <w:r>
        <w:rPr>
          <w:rFonts w:ascii="Arial" w:hAnsi="Arial"/>
          <w:sz w:val="21"/>
          <w:szCs w:val="21"/>
          <w:lang w:val="pt-BR"/>
        </w:rPr>
        <w:t xml:space="preserve">b) suas folhas devem estar datadas, assinadas e rubricadas pelo seu representante legal, podendo ser de forma digital, desde que atendidos os requisitos legais; </w:t>
      </w:r>
    </w:p>
    <w:p>
      <w:pPr>
        <w:pStyle w:val="Normal"/>
        <w:spacing w:lineRule="auto" w:line="360" w:before="0" w:after="0"/>
        <w:ind w:left="567" w:hanging="0"/>
        <w:jc w:val="both"/>
        <w:rPr>
          <w:lang w:val="pt-BR"/>
        </w:rPr>
      </w:pPr>
      <w:r>
        <w:rPr>
          <w:rFonts w:ascii="Arial" w:hAnsi="Arial"/>
          <w:sz w:val="21"/>
          <w:szCs w:val="21"/>
          <w:lang w:val="pt-BR"/>
        </w:rPr>
        <w:t xml:space="preserve">c) nos preços propostos deverão estar incluídos todos os custos diretos e indiretos necessários à perfeita execução do objeto,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 </w:t>
      </w:r>
    </w:p>
    <w:p>
      <w:pPr>
        <w:pStyle w:val="Normal"/>
        <w:spacing w:lineRule="auto" w:line="360" w:before="0" w:after="0"/>
        <w:ind w:left="567" w:hanging="0"/>
        <w:jc w:val="both"/>
        <w:rPr>
          <w:lang w:val="pt-BR"/>
        </w:rPr>
      </w:pPr>
      <w:r>
        <w:rPr>
          <w:rFonts w:ascii="Arial" w:hAnsi="Arial"/>
          <w:sz w:val="21"/>
          <w:szCs w:val="21"/>
          <w:lang w:val="pt-BR"/>
        </w:rPr>
        <w:t xml:space="preserve">d) o prazo de validade da proposta de preços que não poderá ser inferior a 60 (sessenta) dias, contados da abertura do prazo para envio; </w:t>
      </w:r>
    </w:p>
    <w:p>
      <w:pPr>
        <w:pStyle w:val="Normal"/>
        <w:spacing w:lineRule="auto" w:line="360" w:before="0" w:after="0"/>
        <w:ind w:left="567" w:hanging="0"/>
        <w:jc w:val="both"/>
        <w:rPr>
          <w:lang w:val="pt-BR"/>
        </w:rPr>
      </w:pPr>
      <w:r>
        <w:rPr>
          <w:rFonts w:ascii="Arial" w:hAnsi="Arial"/>
          <w:sz w:val="21"/>
          <w:szCs w:val="21"/>
          <w:lang w:val="pt-BR"/>
        </w:rPr>
        <w:t xml:space="preserve">e) conter valor unitário e valor total com a quantidade estimada, o valor total deverá constar também por extenso; </w:t>
      </w:r>
    </w:p>
    <w:p>
      <w:pPr>
        <w:pStyle w:val="Normal"/>
        <w:spacing w:lineRule="auto" w:line="360" w:before="0" w:after="0"/>
        <w:ind w:left="567" w:hanging="0"/>
        <w:jc w:val="both"/>
        <w:rPr>
          <w:lang w:val="pt-BR"/>
        </w:rPr>
      </w:pPr>
      <w:r>
        <w:rPr>
          <w:rFonts w:ascii="Arial" w:hAnsi="Arial"/>
          <w:sz w:val="21"/>
          <w:szCs w:val="21"/>
          <w:lang w:val="pt-BR"/>
        </w:rPr>
        <w:t>f) conter discriminados em moeda corrente nacional os preços dos itens limitados a 02 (duas) casas decimais para os centavos; e</w:t>
      </w:r>
    </w:p>
    <w:p>
      <w:pPr>
        <w:pStyle w:val="Normal"/>
        <w:spacing w:lineRule="auto" w:line="360" w:before="0" w:after="0"/>
        <w:ind w:left="567" w:hanging="0"/>
        <w:jc w:val="both"/>
        <w:rPr>
          <w:lang w:val="pt-BR"/>
        </w:rPr>
      </w:pPr>
      <w:r>
        <w:rPr>
          <w:rFonts w:ascii="Arial" w:hAnsi="Arial"/>
          <w:sz w:val="21"/>
          <w:szCs w:val="21"/>
          <w:lang w:val="pt-BR"/>
        </w:rPr>
        <w:t>g) especificação completa do produto oferecido de acordo com as apresentadas na Proposta Eletrônica com informações técnicas que possibilitem a sua completa avaliação, totalmente e estritamente conforme descrito acima.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3.2. O eventual interessado, ao enviar sua proposta, declara compreender que não está participando de uma licitação, mas fornecendo proposta adicional para a aferição, por parte da Administração, da vantajosidade da escolha a ser contratada em processo de dispensa de licitação.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 xml:space="preserve">3.3. O prosseguimento do processo de contratação direta já iniciado não é condicionado à apresentação de propostas, podendo ser realizada a contratação mesmo que o prazo transcorra </w:t>
      </w:r>
      <w:r>
        <w:rPr>
          <w:rFonts w:ascii="Arial" w:hAnsi="Arial"/>
          <w:i/>
          <w:iCs/>
          <w:sz w:val="21"/>
          <w:szCs w:val="21"/>
          <w:lang w:val="pt-BR"/>
        </w:rPr>
        <w:t>in albis</w:t>
      </w:r>
      <w:r>
        <w:rPr>
          <w:rFonts w:ascii="Arial" w:hAnsi="Arial"/>
          <w:sz w:val="21"/>
          <w:szCs w:val="21"/>
          <w:lang w:val="pt-BR"/>
        </w:rPr>
        <w:t>.</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3.4. A seleção da contratada não estará restrita àqueles que encaminharem suas propostas, podendo a Administração selecionar a proposta de terceiro alheio a este procedimento.</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3.5. A divulgação da proposta selecionada como mais vantajosa far-se-á junto ao teor da autorização da autoridade competente, a qual fará a indicação da pessoa a ser contratada, nos termos do art. 72, inciso VIII e parágrafo único, da Lei Federal n. 14.133/2021.</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lang w:val="pt-BR"/>
        </w:rPr>
      </w:pPr>
      <w:r>
        <w:rPr>
          <w:rFonts w:ascii="Arial" w:hAnsi="Arial"/>
          <w:sz w:val="21"/>
          <w:szCs w:val="21"/>
          <w:lang w:val="pt-BR"/>
        </w:rPr>
        <w:t>3.6. Dúvidas ou esclarecimentos poderão ser solicitadas através do endereço eletrônico supracitado.</w:t>
      </w:r>
    </w:p>
    <w:p>
      <w:pPr>
        <w:pStyle w:val="Normal"/>
        <w:spacing w:lineRule="auto" w:line="360" w:before="0" w:after="0"/>
        <w:jc w:val="both"/>
        <w:rPr>
          <w:lang w:val="pt-BR"/>
        </w:rPr>
      </w:pPr>
      <w:r>
        <w:rPr>
          <w:lang w:val="pt-BR"/>
        </w:rPr>
      </w:r>
    </w:p>
    <w:p>
      <w:pPr>
        <w:pStyle w:val="Normal"/>
        <w:spacing w:lineRule="auto" w:line="360" w:before="0" w:after="0"/>
        <w:jc w:val="center"/>
        <w:rPr>
          <w:b/>
          <w:b/>
          <w:bCs/>
          <w:lang w:val="pt-BR"/>
        </w:rPr>
      </w:pPr>
      <w:r>
        <w:rPr>
          <w:rFonts w:ascii="Arial" w:hAnsi="Arial"/>
          <w:b/>
          <w:bCs/>
          <w:sz w:val="21"/>
          <w:szCs w:val="21"/>
          <w:lang w:val="pt-BR"/>
        </w:rPr>
        <w:t>IV – DOS DOCUMENTOS A SEREM APRESENTADOS PELA FUTURA CONTRATADA</w:t>
      </w:r>
    </w:p>
    <w:p>
      <w:pPr>
        <w:pStyle w:val="Normal"/>
        <w:spacing w:lineRule="auto" w:line="360" w:before="0" w:after="0"/>
        <w:jc w:val="both"/>
        <w:rPr>
          <w:rFonts w:ascii="Arial" w:hAnsi="Arial"/>
          <w:sz w:val="21"/>
          <w:szCs w:val="21"/>
          <w:lang w:val="pt-BR"/>
        </w:rPr>
      </w:pPr>
      <w:r>
        <w:rPr>
          <w:rFonts w:ascii="Arial" w:hAnsi="Arial"/>
          <w:sz w:val="21"/>
          <w:szCs w:val="21"/>
          <w:lang w:val="pt-BR"/>
        </w:rPr>
      </w:r>
    </w:p>
    <w:p>
      <w:pPr>
        <w:pStyle w:val="Normal"/>
        <w:spacing w:lineRule="auto" w:line="360" w:before="0" w:after="0"/>
        <w:jc w:val="both"/>
        <w:rPr>
          <w:rFonts w:ascii="Arial" w:hAnsi="Arial"/>
          <w:sz w:val="21"/>
          <w:szCs w:val="21"/>
          <w:lang w:val="pt-BR"/>
        </w:rPr>
      </w:pPr>
      <w:r>
        <w:rPr>
          <w:rFonts w:ascii="Arial" w:hAnsi="Arial"/>
          <w:sz w:val="21"/>
          <w:szCs w:val="21"/>
          <w:lang w:val="pt-BR"/>
        </w:rPr>
        <w:t>4.1. Após decisão da autoridade competente, a futura contratada deverá apresentar ao Município os seguintes documentos:</w:t>
      </w:r>
    </w:p>
    <w:p>
      <w:pPr>
        <w:pStyle w:val="Normal"/>
        <w:numPr>
          <w:ilvl w:val="0"/>
          <w:numId w:val="0"/>
        </w:numPr>
        <w:suppressAutoHyphens w:val="false"/>
        <w:spacing w:lineRule="auto" w:line="360" w:before="0" w:after="120"/>
        <w:ind w:left="967" w:right="-2" w:hanging="0"/>
        <w:jc w:val="both"/>
        <w:rPr>
          <w:lang w:val="pt-BR"/>
        </w:rPr>
      </w:pPr>
      <w:r>
        <w:rPr>
          <w:lang w:val="pt-BR"/>
        </w:rPr>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Conjunta Negativa (ou Positiva com Efeitos de Negativa) de Débitos Relativos a Tributos Federais e à Dívida Ativa da União e de contribuições sociais;</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Negativa (ou Positiva com Efeitos de Negativa) de Débitos Estaduais relativos ao Estado sede do proponente;</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Certidão Negativa (ou Positiva com Efeitos de Negativa) de Débitos Municipais, relativa ao Município da sede do proponente;</w:t>
      </w:r>
    </w:p>
    <w:p>
      <w:pPr>
        <w:pStyle w:val="Normal"/>
        <w:numPr>
          <w:ilvl w:val="0"/>
          <w:numId w:val="1"/>
        </w:numPr>
        <w:suppressAutoHyphens w:val="false"/>
        <w:spacing w:lineRule="auto" w:line="360" w:before="0" w:after="120"/>
        <w:ind w:left="967" w:right="-2" w:hanging="283"/>
        <w:jc w:val="both"/>
        <w:rPr>
          <w:lang w:val="pt-BR"/>
        </w:rPr>
      </w:pPr>
      <w:r>
        <w:rPr>
          <w:rFonts w:cs="Arial" w:ascii="Arial" w:hAnsi="Arial"/>
          <w:color w:val="000000"/>
          <w:sz w:val="21"/>
          <w:szCs w:val="21"/>
          <w:lang w:val="pt-BR" w:eastAsia="ar-SA"/>
        </w:rPr>
        <w:t>Prova de regularidade relativa ao Fundo de Garantia por Tempo de Serviço (CRF do FGTS), demonstrando situação regular no cumprimento dos encargos sociais, instituídos por Lei;</w:t>
      </w:r>
    </w:p>
    <w:p>
      <w:pPr>
        <w:pStyle w:val="Normal"/>
        <w:numPr>
          <w:ilvl w:val="0"/>
          <w:numId w:val="1"/>
        </w:numPr>
        <w:suppressAutoHyphens w:val="false"/>
        <w:spacing w:lineRule="auto" w:line="360" w:before="0" w:after="120"/>
        <w:ind w:left="967" w:right="-2" w:hanging="283"/>
        <w:jc w:val="both"/>
        <w:rPr>
          <w:lang w:val="pt-BR"/>
        </w:rPr>
      </w:pPr>
      <w:r>
        <w:rPr>
          <w:rFonts w:eastAsia="Times New Roman" w:cs="Arial" w:ascii="Arial" w:hAnsi="Arial"/>
          <w:b w:val="false"/>
          <w:bCs w:val="false"/>
          <w:kern w:val="0"/>
          <w:sz w:val="21"/>
          <w:szCs w:val="21"/>
          <w:lang w:val="pt-BR" w:eastAsia="ar-SA"/>
        </w:rPr>
        <w:t xml:space="preserve"> </w:t>
      </w:r>
      <w:r>
        <w:rPr>
          <w:rFonts w:eastAsia="Times New Roman" w:cs="Arial" w:ascii="Arial" w:hAnsi="Arial"/>
          <w:b w:val="false"/>
          <w:bCs w:val="false"/>
          <w:kern w:val="0"/>
          <w:sz w:val="21"/>
          <w:szCs w:val="21"/>
          <w:lang w:val="pt-BR" w:eastAsia="ar-SA"/>
        </w:rPr>
        <w:t>Declaração Unificada (conforme modelo anexo)</w:t>
      </w:r>
    </w:p>
    <w:p>
      <w:pPr>
        <w:pStyle w:val="Normal"/>
        <w:suppressAutoHyphens w:val="true"/>
        <w:spacing w:lineRule="auto" w:line="360" w:before="0" w:after="0"/>
        <w:jc w:val="center"/>
        <w:rPr>
          <w:lang w:val="pt-BR"/>
        </w:rPr>
      </w:pPr>
      <w:r>
        <w:rPr>
          <w:lang w:val="pt-BR"/>
        </w:rPr>
      </w:r>
    </w:p>
    <w:p>
      <w:pPr>
        <w:pStyle w:val="Normal"/>
        <w:suppressAutoHyphens w:val="true"/>
        <w:spacing w:lineRule="auto" w:line="360" w:before="0" w:after="0"/>
        <w:jc w:val="center"/>
        <w:rPr>
          <w:lang w:val="pt-BR"/>
        </w:rPr>
      </w:pPr>
      <w:r>
        <w:rPr>
          <w:lang w:val="pt-BR"/>
        </w:rPr>
      </w:r>
    </w:p>
    <w:p>
      <w:pPr>
        <w:pStyle w:val="Normal"/>
        <w:suppressAutoHyphens w:val="true"/>
        <w:spacing w:lineRule="auto" w:line="360" w:before="0" w:after="0"/>
        <w:jc w:val="center"/>
        <w:rPr>
          <w:lang w:val="pt-BR"/>
        </w:rPr>
      </w:pPr>
      <w:r>
        <w:rPr>
          <w:rFonts w:cs="Arial" w:ascii="Arial" w:hAnsi="Arial"/>
          <w:b/>
          <w:sz w:val="21"/>
          <w:szCs w:val="21"/>
          <w:lang w:val="pt-BR"/>
        </w:rPr>
        <w:t>Munic</w:t>
      </w:r>
      <w:r>
        <w:rPr>
          <w:rFonts w:cs="Arial" w:ascii="Arial" w:hAnsi="Arial"/>
          <w:b/>
          <w:color w:val="000000"/>
          <w:sz w:val="21"/>
          <w:szCs w:val="21"/>
          <w:lang w:val="pt-BR"/>
        </w:rPr>
        <w:t>ípio de Lindoia do Sul, 1</w:t>
      </w:r>
      <w:r>
        <w:rPr>
          <w:rFonts w:cs="Arial" w:ascii="Arial" w:hAnsi="Arial"/>
          <w:b/>
          <w:color w:val="000000"/>
          <w:sz w:val="21"/>
          <w:szCs w:val="21"/>
          <w:lang w:val="pt-BR"/>
        </w:rPr>
        <w:t>5</w:t>
      </w:r>
      <w:r>
        <w:rPr>
          <w:rFonts w:cs="Arial" w:ascii="Arial" w:hAnsi="Arial"/>
          <w:b/>
          <w:color w:val="000000"/>
          <w:sz w:val="21"/>
          <w:szCs w:val="21"/>
          <w:lang w:val="pt-BR"/>
        </w:rPr>
        <w:t xml:space="preserve"> de Outubro de 2024.</w:t>
      </w:r>
    </w:p>
    <w:p>
      <w:pPr>
        <w:pStyle w:val="Normal"/>
        <w:suppressAutoHyphens w:val="true"/>
        <w:spacing w:lineRule="auto" w:line="360" w:before="0" w:after="0"/>
        <w:jc w:val="center"/>
        <w:rPr>
          <w:rFonts w:ascii="Arial" w:hAnsi="Arial" w:cs="Arial"/>
          <w:b/>
          <w:b/>
          <w:color w:val="000000"/>
          <w:sz w:val="21"/>
          <w:szCs w:val="21"/>
          <w:lang w:val="pt-BR"/>
        </w:rPr>
      </w:pPr>
      <w:r>
        <w:rPr>
          <w:rFonts w:cs="Arial" w:ascii="Arial" w:hAnsi="Arial"/>
          <w:b/>
          <w:color w:val="000000"/>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suppressAutoHyphens w:val="true"/>
        <w:spacing w:lineRule="auto" w:line="360" w:before="0" w:after="0"/>
        <w:jc w:val="center"/>
        <w:rPr>
          <w:rFonts w:ascii="Arial" w:hAnsi="Arial" w:cs="Arial"/>
          <w:b/>
          <w:b/>
          <w:sz w:val="21"/>
          <w:szCs w:val="21"/>
          <w:lang w:val="pt-BR"/>
        </w:rPr>
      </w:pPr>
      <w:r>
        <w:rPr>
          <w:rFonts w:cs="Arial" w:ascii="Arial" w:hAnsi="Arial"/>
          <w:b/>
          <w:sz w:val="21"/>
          <w:szCs w:val="21"/>
          <w:lang w:val="pt-BR"/>
        </w:rPr>
      </w:r>
    </w:p>
    <w:p>
      <w:pPr>
        <w:pStyle w:val="Normal"/>
        <w:widowControl w:val="false"/>
        <w:tabs>
          <w:tab w:val="clear" w:pos="708"/>
          <w:tab w:val="left" w:pos="1701" w:leader="none"/>
        </w:tabs>
        <w:spacing w:lineRule="auto" w:line="360" w:before="0" w:after="0"/>
        <w:jc w:val="center"/>
        <w:textAlignment w:val="baseline"/>
        <w:rPr>
          <w:lang w:val="pt-BR"/>
        </w:rPr>
      </w:pPr>
      <w:r>
        <w:rPr>
          <w:rFonts w:eastAsia="Times New Roman" w:cs="Arial" w:ascii="Arial" w:hAnsi="Arial"/>
          <w:b/>
          <w:color w:val="000000"/>
          <w:sz w:val="21"/>
          <w:szCs w:val="21"/>
          <w:lang w:val="pt-BR" w:eastAsia="pt-BR"/>
        </w:rPr>
        <w:t>IVONILSO VENÂNCIO</w:t>
      </w:r>
    </w:p>
    <w:p>
      <w:pPr>
        <w:pStyle w:val="Normal"/>
        <w:widowControl w:val="false"/>
        <w:tabs>
          <w:tab w:val="clear" w:pos="708"/>
          <w:tab w:val="left" w:pos="1701" w:leader="none"/>
        </w:tabs>
        <w:spacing w:lineRule="auto" w:line="360" w:before="0" w:after="0"/>
        <w:jc w:val="center"/>
        <w:textAlignment w:val="baseline"/>
        <w:rPr>
          <w:lang w:val="pt-BR"/>
        </w:rPr>
      </w:pPr>
      <w:r>
        <w:rPr>
          <w:rFonts w:eastAsia="Times New Roman" w:cs="Arial" w:ascii="Arial" w:hAnsi="Arial"/>
          <w:b/>
          <w:color w:val="000000"/>
          <w:sz w:val="21"/>
          <w:szCs w:val="21"/>
          <w:lang w:val="pt-BR" w:eastAsia="pt-BR"/>
        </w:rPr>
        <w:t>Secretário Municipal de Saúde</w:t>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left"/>
        <w:textAlignment w:val="baseline"/>
        <w:rPr>
          <w:lang w:val="pt-BR"/>
        </w:rPr>
      </w:pPr>
      <w:r>
        <w:rPr>
          <w:lang w:val="pt-BR"/>
        </w:rPr>
      </w:r>
    </w:p>
    <w:p>
      <w:pPr>
        <w:pStyle w:val="Normal"/>
        <w:widowControl w:val="false"/>
        <w:tabs>
          <w:tab w:val="clear" w:pos="708"/>
          <w:tab w:val="left" w:pos="1701" w:leader="none"/>
        </w:tabs>
        <w:spacing w:lineRule="auto" w:line="360" w:before="0" w:after="0"/>
        <w:jc w:val="center"/>
        <w:textAlignment w:val="baseline"/>
        <w:rPr>
          <w:lang w:val="pt-BR"/>
        </w:rPr>
      </w:pPr>
      <w:r>
        <w:rPr>
          <w:lang w:val="pt-BR"/>
        </w:rPr>
      </w:r>
    </w:p>
    <w:p>
      <w:pPr>
        <w:pStyle w:val="Normal"/>
        <w:spacing w:lineRule="auto" w:line="360"/>
        <w:jc w:val="center"/>
        <w:rPr>
          <w:rFonts w:ascii="Arial" w:hAnsi="Arial" w:eastAsia="Times New Roman" w:cs="Arial"/>
          <w:b/>
          <w:b/>
          <w:bCs/>
          <w:color w:val="000000"/>
          <w:kern w:val="2"/>
          <w:sz w:val="24"/>
          <w:szCs w:val="24"/>
          <w:lang w:eastAsia="zh-CN"/>
        </w:rPr>
      </w:pPr>
      <w:r>
        <w:rPr>
          <w:rFonts w:eastAsia="Times New Roman" w:cs="Arial" w:ascii="Arial" w:hAnsi="Arial"/>
          <w:b/>
          <w:bCs/>
          <w:color w:val="000000"/>
          <w:kern w:val="2"/>
          <w:sz w:val="24"/>
          <w:szCs w:val="24"/>
          <w:lang w:eastAsia="zh-CN"/>
        </w:rPr>
        <w:t>DECLARAÇÕES</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pPr>
      <w:r>
        <w:rPr>
          <w:rFonts w:eastAsia="Times New Roman" w:cs="Arial" w:ascii="Arial" w:hAnsi="Arial"/>
          <w:bCs/>
          <w:color w:val="000000"/>
          <w:kern w:val="2"/>
          <w:sz w:val="24"/>
          <w:szCs w:val="24"/>
          <w:lang w:eastAsia="zh-CN"/>
        </w:rPr>
        <w:t xml:space="preserve">A empresa </w:t>
      </w:r>
      <w:r>
        <w:rPr>
          <w:rFonts w:eastAsia="Times New Roman" w:cs="Arial" w:ascii="Arial" w:hAnsi="Arial"/>
          <w:b/>
          <w:bCs/>
          <w:color w:val="000000"/>
          <w:kern w:val="2"/>
          <w:sz w:val="24"/>
          <w:szCs w:val="24"/>
          <w:lang w:eastAsia="zh-CN"/>
        </w:rPr>
        <w:t>______________________________________</w:t>
      </w:r>
      <w:r>
        <w:rPr>
          <w:rFonts w:eastAsia="Times New Roman" w:cs="Arial" w:ascii="Arial" w:hAnsi="Arial"/>
          <w:bCs/>
          <w:color w:val="000000"/>
          <w:kern w:val="2"/>
          <w:sz w:val="24"/>
          <w:szCs w:val="24"/>
          <w:lang w:eastAsia="zh-CN"/>
        </w:rPr>
        <w:t xml:space="preserve">, inscrita no CNPJ sob o nº </w:t>
      </w:r>
      <w:r>
        <w:rPr>
          <w:rFonts w:eastAsia="Times New Roman" w:cs="Arial" w:ascii="Arial" w:hAnsi="Arial"/>
          <w:b/>
          <w:bCs/>
          <w:color w:val="000000"/>
          <w:kern w:val="2"/>
          <w:sz w:val="24"/>
          <w:szCs w:val="24"/>
          <w:lang w:eastAsia="zh-CN"/>
        </w:rPr>
        <w:t>________________________</w:t>
      </w:r>
      <w:r>
        <w:rPr>
          <w:rFonts w:eastAsia="Times New Roman" w:cs="Arial" w:ascii="Arial" w:hAnsi="Arial"/>
          <w:bCs/>
          <w:color w:val="000000"/>
          <w:kern w:val="2"/>
          <w:sz w:val="24"/>
          <w:szCs w:val="24"/>
          <w:lang w:eastAsia="zh-CN"/>
        </w:rPr>
        <w:t xml:space="preserve">, estabelecida na Rua _______________ nº ___, Bairro ____________, Município de ______________-SC por intermédio de seu representante legal Sr.(a) _________________________, portador(a) da Carteira de Identidade nº _______________ e do CPF nº ________________, </w:t>
      </w:r>
      <w:r>
        <w:rPr>
          <w:rFonts w:eastAsia="Times New Roman" w:cs="Arial" w:ascii="Arial" w:hAnsi="Arial"/>
          <w:b/>
          <w:bCs/>
          <w:color w:val="000000"/>
          <w:kern w:val="2"/>
          <w:sz w:val="24"/>
          <w:szCs w:val="24"/>
          <w:lang w:eastAsia="zh-CN"/>
        </w:rPr>
        <w:t>DECLARA:</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Cs/>
          <w:color w:val="000000"/>
          <w:kern w:val="2"/>
          <w:sz w:val="24"/>
          <w:szCs w:val="24"/>
          <w:lang w:eastAsia="zh-CN"/>
        </w:rPr>
        <w:t>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val="false"/>
        <w:numPr>
          <w:ilvl w:val="0"/>
          <w:numId w:val="0"/>
        </w:numPr>
        <w:suppressAutoHyphens w:val="true"/>
        <w:bidi w:val="0"/>
        <w:spacing w:lineRule="auto" w:line="360"/>
        <w:ind w:left="567" w:right="0" w:hanging="0"/>
        <w:jc w:val="both"/>
        <w:rPr>
          <w:rFonts w:ascii="Arial" w:hAnsi="Arial" w:eastAsia="Times New Roman" w:cs="Arial"/>
          <w:b w:val="false"/>
          <w:b w:val="false"/>
          <w:bCs w:val="false"/>
          <w:color w:val="000000"/>
          <w:kern w:val="2"/>
          <w:sz w:val="22"/>
          <w:szCs w:val="22"/>
          <w:lang w:eastAsia="zh-CN"/>
        </w:rPr>
      </w:pPr>
      <w:r>
        <w:rPr>
          <w:rFonts w:eastAsia="Times New Roman" w:cs="Arial" w:ascii="Arial" w:hAnsi="Arial"/>
          <w:b w:val="false"/>
          <w:bCs w:val="false"/>
          <w:color w:val="000000"/>
          <w:kern w:val="2"/>
          <w:sz w:val="22"/>
          <w:szCs w:val="22"/>
          <w:lang w:eastAsia="zh-CN"/>
        </w:rPr>
        <w:t>Ressalva: emprega menor, a partir de quatorze anos, na condição de aprendiz (   ).</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 w:val="false"/>
          <w:bCs/>
          <w:color w:val="000000"/>
          <w:kern w:val="2"/>
          <w:sz w:val="24"/>
          <w:szCs w:val="24"/>
          <w:lang w:eastAsia="zh-CN"/>
        </w:rPr>
        <w:t>Para os devidos fins de direito, sob as penas da lei 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val="false"/>
        <w:numPr>
          <w:ilvl w:val="0"/>
          <w:numId w:val="0"/>
        </w:numPr>
        <w:suppressAutoHyphens w:val="true"/>
        <w:bidi w:val="0"/>
        <w:spacing w:lineRule="auto" w:line="360"/>
        <w:ind w:left="567" w:right="0" w:hanging="0"/>
        <w:jc w:val="both"/>
        <w:rPr/>
      </w:pPr>
      <w:r>
        <w:rPr>
          <w:rFonts w:eastAsia="Times New Roman" w:cs="Arial" w:ascii="Arial" w:hAnsi="Arial"/>
          <w:b w:val="false"/>
          <w:bCs/>
          <w:color w:val="000000"/>
          <w:kern w:val="2"/>
          <w:sz w:val="24"/>
          <w:szCs w:val="24"/>
          <w:lang w:eastAsia="zh-CN"/>
        </w:rPr>
        <w:t>Portanto, inclusive, a empresa declara que também está em conformidade com o que prevê o art. 54 I “a” da Constituição Federal e art. 43 I ”a” e II “a” da Constituição do Estado de Santa Catarina.</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 w:val="false"/>
          <w:bCs/>
          <w:color w:val="000000"/>
          <w:kern w:val="2"/>
          <w:sz w:val="24"/>
          <w:szCs w:val="24"/>
          <w:lang w:eastAsia="zh-CN"/>
        </w:rPr>
        <w:t>Que não foi declarada INIDÔNEA para licitar ou contratar com a Administração Pública, bem como que comunicarei qualquer fato ou evento superveniente à entrega dos documentos de habilitação que venha alterar a atual situação quanto à capacidade jurídica, técnica, regularidade fiscal e idoneidade econômico-financeira.</w:t>
      </w:r>
    </w:p>
    <w:p>
      <w:pPr>
        <w:pStyle w:val="Normal"/>
        <w:widowControl w:val="false"/>
        <w:numPr>
          <w:ilvl w:val="0"/>
          <w:numId w:val="2"/>
        </w:numPr>
        <w:suppressAutoHyphens w:val="true"/>
        <w:bidi w:val="0"/>
        <w:spacing w:lineRule="auto" w:line="360"/>
        <w:ind w:left="567" w:right="0" w:hanging="0"/>
        <w:jc w:val="both"/>
        <w:rPr/>
      </w:pPr>
      <w:r>
        <w:rPr>
          <w:rFonts w:eastAsia="Times New Roman" w:cs="Arial" w:ascii="Arial" w:hAnsi="Arial"/>
          <w:bCs/>
          <w:color w:val="000000"/>
          <w:kern w:val="2"/>
          <w:sz w:val="24"/>
          <w:szCs w:val="24"/>
          <w:lang w:eastAsia="zh-CN"/>
        </w:rPr>
        <w:t>Ausência de condenação judicial por exploração de trabalho infantil, por submissão de trabalhadores a condições análogas às de escravo ou por contratação de adolescentes nos casos vedados pela legislação trabalhista.</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Que cumpre as exigências de reserva de cargos para pessoa com deficiência e para reabilitado da Previdência Social, previstas em lei e em outras normas específicas.</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w:t>
      </w:r>
    </w:p>
    <w:p>
      <w:pPr>
        <w:pStyle w:val="Normal"/>
        <w:widowControl w:val="false"/>
        <w:numPr>
          <w:ilvl w:val="0"/>
          <w:numId w:val="2"/>
        </w:numPr>
        <w:suppressAutoHyphens w:val="true"/>
        <w:bidi w:val="0"/>
        <w:spacing w:lineRule="auto" w:line="360"/>
        <w:ind w:left="567" w:right="0" w:hanging="0"/>
        <w:jc w:val="both"/>
        <w:rPr/>
      </w:pPr>
      <w:r>
        <w:rPr>
          <w:rFonts w:cs="Arial" w:ascii="Arial" w:hAnsi="Arial"/>
          <w:sz w:val="24"/>
          <w:szCs w:val="24"/>
        </w:rPr>
        <w:t xml:space="preserve">Que o enquadramento da Receita Bruta do exercício financeiro para empresas de pequeno porte, não atingiu o limite, considerando contratos com a Administração Pública </w:t>
      </w:r>
      <w:r>
        <w:rPr>
          <w:rFonts w:cs="Arial" w:ascii="Arial" w:hAnsi="Arial"/>
          <w:color w:val="000000"/>
          <w:sz w:val="24"/>
          <w:szCs w:val="24"/>
          <w:shd w:fill="FF0000" w:val="clear"/>
        </w:rPr>
        <w:t>(se for o caso)</w:t>
      </w:r>
      <w:r>
        <w:rPr>
          <w:rFonts w:cs="Arial" w:ascii="Arial" w:hAnsi="Arial"/>
          <w:sz w:val="24"/>
          <w:szCs w:val="24"/>
        </w:rPr>
        <w:t>.</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t>Local, ______ de ____________________ de 2024.</w:t>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r>
    </w:p>
    <w:p>
      <w:pPr>
        <w:pStyle w:val="Normal"/>
        <w:spacing w:lineRule="auto" w:line="360"/>
        <w:jc w:val="both"/>
        <w:rPr>
          <w:rFonts w:ascii="Arial" w:hAnsi="Arial" w:eastAsia="Times New Roman" w:cs="Arial"/>
          <w:bCs/>
          <w:color w:val="000000"/>
          <w:kern w:val="2"/>
          <w:sz w:val="24"/>
          <w:szCs w:val="24"/>
          <w:lang w:eastAsia="zh-CN"/>
        </w:rPr>
      </w:pPr>
      <w:r>
        <w:rPr>
          <w:rFonts w:eastAsia="Times New Roman" w:cs="Arial" w:ascii="Arial" w:hAnsi="Arial"/>
          <w:bCs/>
          <w:color w:val="000000"/>
          <w:kern w:val="2"/>
          <w:sz w:val="24"/>
          <w:szCs w:val="24"/>
          <w:lang w:eastAsia="zh-CN"/>
        </w:rPr>
        <w:t>(nome e assinatura do responsável legal)</w:t>
      </w:r>
    </w:p>
    <w:p>
      <w:pPr>
        <w:pStyle w:val="Normal"/>
        <w:spacing w:lineRule="auto" w:line="360"/>
        <w:jc w:val="both"/>
        <w:rPr/>
      </w:pPr>
      <w:r>
        <w:rPr>
          <w:rFonts w:eastAsia="Times New Roman" w:cs="Arial" w:ascii="Arial" w:hAnsi="Arial"/>
          <w:b w:val="false"/>
          <w:bCs w:val="false"/>
          <w:color w:val="000000"/>
          <w:kern w:val="2"/>
          <w:sz w:val="24"/>
          <w:szCs w:val="24"/>
          <w:lang w:eastAsia="zh-CN"/>
        </w:rPr>
        <w:t>(número da carteira de identidade e órgão emissor)</w:t>
      </w:r>
    </w:p>
    <w:p>
      <w:pPr>
        <w:pStyle w:val="Normal"/>
        <w:widowControl/>
        <w:suppressAutoHyphens w:val="true"/>
        <w:bidi w:val="0"/>
        <w:spacing w:lineRule="auto" w:line="360" w:before="0" w:after="0"/>
        <w:ind w:left="0" w:right="0" w:hanging="0"/>
        <w:jc w:val="both"/>
        <w:rPr>
          <w:rFonts w:ascii="Arial" w:hAnsi="Arial" w:cs="Arial"/>
          <w:b/>
          <w:b/>
          <w:bCs/>
          <w:sz w:val="21"/>
          <w:szCs w:val="21"/>
        </w:rPr>
      </w:pPr>
      <w:r>
        <w:rPr/>
      </w:r>
    </w:p>
    <w:sectPr>
      <w:headerReference w:type="even" r:id="rId2"/>
      <w:headerReference w:type="default" r:id="rId3"/>
      <w:headerReference w:type="first" r:id="rId4"/>
      <w:footerReference w:type="default" r:id="rId5"/>
      <w:type w:val="nextPage"/>
      <w:pgSz w:w="11906" w:h="16838"/>
      <w:pgMar w:left="1701" w:right="1133" w:gutter="0" w:header="426" w:top="1987"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Wingding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6840855" cy="99250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30" t="-140" r="-30" b="-140"/>
                  <a:stretch>
                    <a:fillRect/>
                  </a:stretch>
                </pic:blipFill>
                <pic:spPr bwMode="auto">
                  <a:xfrm>
                    <a:off x="0" y="0"/>
                    <a:ext cx="6840855" cy="9925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391275" cy="108775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30" t="-183" r="-30" b="-183"/>
                  <a:stretch>
                    <a:fillRect/>
                  </a:stretch>
                </pic:blipFill>
                <pic:spPr bwMode="auto">
                  <a:xfrm>
                    <a:off x="0" y="0"/>
                    <a:ext cx="6391275" cy="1087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8"/>
        </w:tabs>
        <w:ind w:left="993" w:hanging="283"/>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uiPriority w:val="99"/>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qFormat/>
    <w:rsid w:val="007a6e59"/>
    <w:rPr>
      <w:rFonts w:ascii="Times New Roman" w:hAnsi="Times New Roman" w:eastAsia="Times New Roman" w:cs="Times New Roman"/>
      <w:sz w:val="24"/>
      <w:szCs w:val="24"/>
    </w:rPr>
  </w:style>
  <w:style w:type="character" w:styleId="CorpodetextoChar" w:customStyle="1">
    <w:name w:val="Corpo de texto Char"/>
    <w:basedOn w:val="DefaultParagraphFont"/>
    <w:uiPriority w:val="99"/>
    <w:semiHidden/>
    <w:qFormat/>
    <w:rsid w:val="003e1700"/>
    <w:rPr/>
  </w:style>
  <w:style w:type="character" w:styleId="Recuodecorpodetexto2Char" w:customStyle="1">
    <w:name w:val="Recuo de corpo de texto 2 Char"/>
    <w:basedOn w:val="DefaultParagraphFont"/>
    <w:link w:val="BodyTextIndent2"/>
    <w:qFormat/>
    <w:rsid w:val="003e1700"/>
    <w:rPr>
      <w:rFonts w:ascii="Times New Roman" w:hAnsi="Times New Roman" w:eastAsia="Times New Roman" w:cs="Times New Roman"/>
      <w:sz w:val="24"/>
      <w:szCs w:val="24"/>
      <w:lang w:eastAsia="pt-BR"/>
    </w:rPr>
  </w:style>
  <w:style w:type="character" w:styleId="LinkdaInternet">
    <w:name w:val="Hyperlink"/>
    <w:basedOn w:val="DefaultParagraphFont"/>
    <w:uiPriority w:val="99"/>
    <w:unhideWhenUsed/>
    <w:rsid w:val="006b6386"/>
    <w:rPr>
      <w:color w:val="0563C1" w:themeColor="hyperlink"/>
      <w:u w:val="single"/>
    </w:rPr>
  </w:style>
  <w:style w:type="character" w:styleId="UnresolvedMention">
    <w:name w:val="Unresolved Mention"/>
    <w:basedOn w:val="DefaultParagraphFont"/>
    <w:uiPriority w:val="99"/>
    <w:semiHidden/>
    <w:unhideWhenUsed/>
    <w:qFormat/>
    <w:rsid w:val="006b6386"/>
    <w:rPr>
      <w:color w:val="605E5C"/>
      <w:shd w:fill="E1DFDD" w:val="clear"/>
    </w:rPr>
  </w:style>
  <w:style w:type="character" w:styleId="SubtleEmphasis">
    <w:name w:val="Subtle Emphasis"/>
    <w:basedOn w:val="DefaultParagraphFont"/>
    <w:uiPriority w:val="19"/>
    <w:qFormat/>
    <w:rsid w:val="00e67296"/>
    <w:rPr>
      <w:i/>
      <w:iCs/>
      <w:color w:val="404040" w:themeColor="text1" w:themeTint="bf"/>
    </w:rPr>
  </w:style>
  <w:style w:type="character" w:styleId="Annotationreference">
    <w:name w:val="annotation reference"/>
    <w:basedOn w:val="DefaultParagraphFont"/>
    <w:uiPriority w:val="99"/>
    <w:semiHidden/>
    <w:unhideWhenUsed/>
    <w:qFormat/>
    <w:rsid w:val="00000a60"/>
    <w:rPr>
      <w:sz w:val="16"/>
      <w:szCs w:val="16"/>
    </w:rPr>
  </w:style>
  <w:style w:type="character" w:styleId="TextodecomentrioChar" w:customStyle="1">
    <w:name w:val="Texto de comentário Char"/>
    <w:basedOn w:val="DefaultParagraphFont"/>
    <w:link w:val="Annotationtext"/>
    <w:uiPriority w:val="99"/>
    <w:qFormat/>
    <w:rsid w:val="00000a60"/>
    <w:rPr>
      <w:sz w:val="20"/>
      <w:szCs w:val="20"/>
    </w:rPr>
  </w:style>
  <w:style w:type="character" w:styleId="AssuntodocomentrioChar" w:customStyle="1">
    <w:name w:val="Assunto do comentário Char"/>
    <w:basedOn w:val="TextodecomentrioChar"/>
    <w:link w:val="Annotationsubject"/>
    <w:uiPriority w:val="99"/>
    <w:semiHidden/>
    <w:qFormat/>
    <w:rsid w:val="00000a60"/>
    <w:rPr>
      <w:b/>
      <w:bCs/>
      <w:sz w:val="20"/>
      <w:szCs w:val="20"/>
    </w:rPr>
  </w:style>
  <w:style w:type="character" w:styleId="WW8Num12z0">
    <w:name w:val="WW8Num12z0"/>
    <w:qFormat/>
    <w:rPr>
      <w:b w:val="false"/>
    </w:rPr>
  </w:style>
  <w:style w:type="character" w:styleId="WW8Num3z0">
    <w:name w:val="WW8Num3z0"/>
    <w:qFormat/>
    <w:rPr>
      <w:b w:val="false"/>
    </w:rPr>
  </w:style>
  <w:style w:type="character" w:styleId="WW8Num10z0">
    <w:name w:val="WW8Num10z0"/>
    <w:qFormat/>
    <w:rPr>
      <w:b w:val="false"/>
    </w:rPr>
  </w:style>
  <w:style w:type="character" w:styleId="Linkdainternetvisitado">
    <w:name w:val="FollowedHyperlink"/>
    <w:rPr>
      <w:color w:val="954F72"/>
      <w:u w:val="single"/>
    </w:rPr>
  </w:style>
  <w:style w:type="character" w:styleId="Fontepargpadro">
    <w:name w:val="Fonte parág. padrão"/>
    <w:qFormat/>
    <w:rPr/>
  </w:style>
  <w:style w:type="character" w:styleId="WW8Num5z0">
    <w:name w:val="WW8Num5z0"/>
    <w:qFormat/>
    <w:rPr/>
  </w:style>
  <w:style w:type="character" w:styleId="WW8Num2z0">
    <w:name w:val="WW8Num2z0"/>
    <w:qFormat/>
    <w:rPr>
      <w:rFonts w:ascii="Wingdings" w:hAnsi="Wingdings" w:cs="OpenSymbol;Arial Unicode M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semiHidden/>
    <w:unhideWhenUsed/>
    <w:rsid w:val="003e1700"/>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Indent2">
    <w:name w:val="Body Text Indent 2"/>
    <w:basedOn w:val="Normal"/>
    <w:link w:val="Recuodecorpodetexto2Char"/>
    <w:qFormat/>
    <w:rsid w:val="003e1700"/>
    <w:pPr>
      <w:spacing w:lineRule="auto" w:line="480" w:before="0" w:after="120"/>
      <w:ind w:left="283" w:hanging="0"/>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81791b"/>
    <w:pPr>
      <w:spacing w:before="0" w:after="160"/>
      <w:ind w:left="720" w:hanging="0"/>
      <w:contextualSpacing/>
    </w:pPr>
    <w:rPr/>
  </w:style>
  <w:style w:type="paragraph" w:styleId="Annotationtext">
    <w:name w:val="annotation text"/>
    <w:basedOn w:val="Normal"/>
    <w:link w:val="TextodecomentrioChar"/>
    <w:uiPriority w:val="99"/>
    <w:unhideWhenUsed/>
    <w:qFormat/>
    <w:rsid w:val="00000a6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0a60"/>
    <w:pPr/>
    <w:rPr>
      <w:b/>
      <w:bCs/>
    </w:rPr>
  </w:style>
  <w:style w:type="paragraph" w:styleId="PargrafodaLista">
    <w:name w:val="Parágrafo da Lista"/>
    <w:basedOn w:val="Normal"/>
    <w:qFormat/>
    <w:pPr>
      <w:spacing w:before="0" w:after="0"/>
      <w:ind w:left="720" w:right="0" w:hanging="0"/>
      <w:contextualSpacing/>
    </w:pPr>
    <w:rPr/>
  </w:style>
  <w:style w:type="paragraph" w:styleId="Contedodatabela">
    <w:name w:val="Conteúdo da tabela"/>
    <w:basedOn w:val="Normal"/>
    <w:qFormat/>
    <w:pPr>
      <w:suppressLineNumbers/>
    </w:pPr>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SimSun" w:cs="Mangal"/>
      <w:color w:val="00000A"/>
      <w:kern w:val="2"/>
      <w:sz w:val="24"/>
      <w:szCs w:val="24"/>
      <w:lang w:val="pt-BR" w:eastAsia="zh-CN" w:bidi="hi-IN"/>
    </w:rPr>
  </w:style>
  <w:style w:type="paragraph" w:styleId="Corpodetexto21">
    <w:name w:val="Corpo de texto 21"/>
    <w:basedOn w:val="Normal"/>
    <w:qFormat/>
    <w:pPr>
      <w:spacing w:lineRule="auto" w:line="360"/>
      <w:jc w:val="both"/>
    </w:pPr>
    <w:rPr>
      <w:rFonts w:eastAsia="Times New Roman"/>
      <w:color w:val="000000"/>
    </w:rPr>
  </w:style>
  <w:style w:type="numbering" w:styleId="NoList" w:default="1">
    <w:name w:val="No List"/>
    <w:uiPriority w:val="99"/>
    <w:semiHidden/>
    <w:unhideWhenUsed/>
    <w:qFormat/>
  </w:style>
  <w:style w:type="numbering" w:styleId="WW8Num12">
    <w:name w:val="WW8Num12"/>
    <w:qFormat/>
  </w:style>
  <w:style w:type="numbering" w:styleId="WW8Num3">
    <w:name w:val="WW8Num3"/>
    <w:qFormat/>
  </w:style>
  <w:style w:type="numbering" w:styleId="WW8Num10">
    <w:name w:val="WW8Num10"/>
    <w:qFormat/>
  </w:style>
  <w:style w:type="numbering" w:styleId="WW8Num5">
    <w:name w:val="WW8Num5"/>
    <w:qFormat/>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35F2-7D7D-4585-8BA6-8353DA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Application>LibreOffice/7.4.2.3$Windows_X86_64 LibreOffice_project/382eef1f22670f7f4118c8c2dd222ec7ad009daf</Application>
  <AppVersion>15.0000</AppVersion>
  <Pages>6</Pages>
  <Words>1313</Words>
  <Characters>7377</Characters>
  <CharactersWithSpaces>8571</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2023-01-04T14:56:00Z</dcterms:created>
  <dc:creator>CIMCATARINA</dc:creator>
  <dc:description/>
  <dc:language>pt-BR</dc:language>
  <cp:lastModifiedBy/>
  <cp:lastPrinted>2024-08-06T14:25:06Z</cp:lastPrinted>
  <dcterms:modified xsi:type="dcterms:W3CDTF">2024-10-15T11:24:03Z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