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300" w:before="0" w:after="0"/>
        <w:ind w:left="0" w:right="0" w:hanging="0"/>
        <w:jc w:val="center"/>
        <w:rPr>
          <w:rFonts w:ascii="Arial" w:hAnsi="Arial"/>
          <w:b/>
          <w:b/>
          <w:bCs/>
          <w:i w:val="false"/>
          <w:i w:val="false"/>
          <w:iCs w:val="false"/>
          <w:sz w:val="21"/>
          <w:szCs w:val="21"/>
        </w:rPr>
      </w:pPr>
      <w:r>
        <w:rPr/>
      </w:r>
    </w:p>
    <w:p>
      <w:pPr>
        <w:pStyle w:val="Normal"/>
        <w:widowControl/>
        <w:suppressAutoHyphens w:val="true"/>
        <w:bidi w:val="0"/>
        <w:spacing w:lineRule="auto" w:line="300" w:before="0" w:after="0"/>
        <w:ind w:left="0" w:right="0" w:hanging="0"/>
        <w:jc w:val="center"/>
        <w:rPr/>
      </w:pPr>
      <w:r>
        <w:rPr>
          <w:rFonts w:ascii="Arial" w:hAnsi="Arial"/>
          <w:b/>
          <w:bCs/>
          <w:i w:val="false"/>
          <w:iCs w:val="false"/>
          <w:sz w:val="21"/>
          <w:szCs w:val="21"/>
        </w:rPr>
        <w:t>EDITAL</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Normal"/>
        <w:spacing w:lineRule="auto" w:line="300" w:before="0" w:after="0"/>
        <w:ind w:left="0" w:right="0" w:hanging="0"/>
        <w:jc w:val="center"/>
        <w:rPr/>
      </w:pPr>
      <w:r>
        <w:rPr>
          <w:rFonts w:cs="Arial" w:ascii="Arial" w:hAnsi="Arial"/>
          <w:b/>
          <w:color w:val="000000"/>
          <w:sz w:val="21"/>
          <w:szCs w:val="21"/>
        </w:rPr>
        <w:t xml:space="preserve">LICITAÇÃO EXCLUSIVAMENTE PARA MICRO E PEQUENAS EMPRESAS </w:t>
      </w:r>
    </w:p>
    <w:p>
      <w:pPr>
        <w:pStyle w:val="Normal"/>
        <w:spacing w:lineRule="auto" w:line="300" w:before="0" w:after="0"/>
        <w:ind w:left="0" w:right="0" w:hanging="0"/>
        <w:jc w:val="center"/>
        <w:rPr>
          <w:rFonts w:ascii="Arial" w:hAnsi="Arial" w:cs="Arial"/>
          <w:b/>
          <w:b/>
          <w:color w:val="000000"/>
          <w:sz w:val="21"/>
          <w:szCs w:val="21"/>
        </w:rPr>
      </w:pPr>
      <w:r>
        <w:rPr>
          <w:rFonts w:cs="Arial" w:ascii="Arial" w:hAnsi="Arial"/>
          <w:b/>
          <w:color w:val="000000"/>
          <w:sz w:val="21"/>
          <w:szCs w:val="21"/>
        </w:rPr>
      </w:r>
    </w:p>
    <w:p>
      <w:pPr>
        <w:pStyle w:val="Normal"/>
        <w:spacing w:lineRule="auto" w:line="300" w:before="0" w:after="0"/>
        <w:ind w:left="0" w:right="0" w:hanging="0"/>
        <w:jc w:val="center"/>
        <w:rPr/>
      </w:pPr>
      <w:r>
        <w:rPr>
          <w:rFonts w:cs="Arial" w:ascii="Arial" w:hAnsi="Arial"/>
          <w:b/>
          <w:bCs/>
          <w:i w:val="false"/>
          <w:iCs w:val="false"/>
          <w:color w:val="000000"/>
          <w:sz w:val="21"/>
          <w:szCs w:val="21"/>
        </w:rPr>
        <w:t xml:space="preserve">(De acordo com o art. 48, I da Lei Complementar nº 123/2006 alterado pela lei 147/2014) </w:t>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PREGÃO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NEUDI ANGELO BERTOL</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PREGÃO</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auxiliado pelo </w:t>
      </w:r>
      <w:r>
        <w:rPr>
          <w:rFonts w:cs="Arial" w:ascii="Arial" w:hAnsi="Arial"/>
          <w:b/>
          <w:bCs/>
          <w:color w:val="000000"/>
          <w:sz w:val="21"/>
          <w:szCs w:val="21"/>
        </w:rPr>
        <w:t>SISTEMA DE REGISTRO DE PREÇOS</w:t>
      </w:r>
      <w:r>
        <w:rPr>
          <w:rFonts w:cs="Arial" w:ascii="Arial" w:hAnsi="Arial"/>
          <w:color w:val="000000"/>
          <w:sz w:val="21"/>
          <w:szCs w:val="21"/>
        </w:rPr>
        <w:t xml:space="preserve"> para futura e eventual contratação, com fornecimento parcelado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este pregão, nas disposições da Lei Federal nº 14.133, de 01 de abril de 2021 e Decreto Municipal nº 4.072 de 11 de janeiro de 2024.</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SISTEMA: </w:t>
      </w:r>
      <w:r>
        <w:rPr>
          <w:rFonts w:cs="Arial" w:ascii="Arial" w:hAnsi="Arial"/>
          <w:b/>
          <w:bCs/>
          <w:strike w:val="false"/>
          <w:dstrike w:val="false"/>
          <w:color w:val="000000"/>
          <w:sz w:val="21"/>
          <w:szCs w:val="21"/>
          <w:u w:val="none"/>
        </w:rPr>
        <w:t>REGISTRO DE PREÇOS</w:t>
      </w:r>
      <w:r>
        <w:rPr>
          <w:rFonts w:cs="Arial" w:ascii="Arial" w:hAnsi="Arial"/>
          <w:b w:val="false"/>
          <w:bCs/>
          <w:strike w:val="false"/>
          <w:dstrike w:val="false"/>
          <w:color w:val="000000"/>
          <w:sz w:val="21"/>
          <w:szCs w:val="21"/>
          <w:u w:val="none"/>
        </w:rPr>
        <w:t xml:space="preserve"> </w:t>
      </w:r>
    </w:p>
    <w:p>
      <w:pPr>
        <w:pStyle w:val="Default"/>
        <w:spacing w:lineRule="auto" w:line="300" w:before="0" w:after="0"/>
        <w:ind w:left="0" w:right="0" w:hanging="0"/>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Menor preço por Item</w:t>
      </w:r>
    </w:p>
    <w:p>
      <w:pPr>
        <w:pStyle w:val="Normal"/>
        <w:widowControl/>
        <w:suppressAutoHyphens w:val="true"/>
        <w:bidi w:val="0"/>
        <w:spacing w:lineRule="auto" w:line="300" w:before="0" w:after="0"/>
        <w:ind w:left="0" w:right="0" w:hanging="0"/>
        <w:jc w:val="both"/>
        <w:rPr/>
      </w:pPr>
      <w:r>
        <w:rPr>
          <w:rFonts w:ascii="Arial" w:hAnsi="Arial"/>
          <w:b/>
          <w:bCs/>
          <w:sz w:val="21"/>
          <w:szCs w:val="21"/>
        </w:rPr>
        <w:t>RECEBIMENTO DAS PROPOSTAS</w:t>
      </w:r>
      <w:r>
        <w:rPr>
          <w:rFonts w:ascii="Arial" w:hAnsi="Arial"/>
          <w:sz w:val="21"/>
          <w:szCs w:val="21"/>
        </w:rPr>
        <w:t xml:space="preserve">: até às </w:t>
      </w:r>
      <w:r>
        <w:rPr>
          <w:rFonts w:ascii="Arial" w:hAnsi="Arial"/>
          <w:b/>
          <w:bCs/>
          <w:sz w:val="21"/>
          <w:szCs w:val="21"/>
        </w:rPr>
        <w:t>08:30</w:t>
      </w:r>
      <w:r>
        <w:rPr>
          <w:rFonts w:ascii="Arial" w:hAnsi="Arial"/>
          <w:sz w:val="21"/>
          <w:szCs w:val="21"/>
        </w:rPr>
        <w:t xml:space="preserve"> horas do dia</w:t>
      </w:r>
      <w:r>
        <w:rPr>
          <w:rFonts w:ascii="Arial" w:hAnsi="Arial"/>
          <w:b/>
          <w:bCs/>
          <w:sz w:val="21"/>
          <w:szCs w:val="21"/>
        </w:rPr>
        <w:t xml:space="preserve"> </w:t>
      </w:r>
      <w:r>
        <w:rPr>
          <w:rFonts w:ascii="Arial" w:hAnsi="Arial"/>
          <w:b/>
          <w:bCs/>
          <w:sz w:val="21"/>
          <w:szCs w:val="21"/>
        </w:rPr>
        <w:t>28</w:t>
      </w:r>
      <w:r>
        <w:rPr>
          <w:rFonts w:ascii="Arial" w:hAnsi="Arial"/>
          <w:b/>
          <w:bCs/>
          <w:sz w:val="21"/>
          <w:szCs w:val="21"/>
        </w:rPr>
        <w:t xml:space="preserve"> </w:t>
      </w:r>
      <w:r>
        <w:rPr>
          <w:rFonts w:ascii="Arial" w:hAnsi="Arial"/>
          <w:b/>
          <w:bCs/>
          <w:sz w:val="21"/>
          <w:szCs w:val="21"/>
        </w:rPr>
        <w:t>de outubro</w:t>
      </w:r>
      <w:r>
        <w:rPr>
          <w:rFonts w:ascii="Arial" w:hAnsi="Arial"/>
          <w:b/>
          <w:bCs/>
          <w:sz w:val="21"/>
          <w:szCs w:val="21"/>
        </w:rPr>
        <w:t xml:space="preserve"> de 2024.</w:t>
      </w:r>
    </w:p>
    <w:p>
      <w:pPr>
        <w:pStyle w:val="Normal"/>
        <w:widowControl/>
        <w:suppressAutoHyphens w:val="true"/>
        <w:bidi w:val="0"/>
        <w:spacing w:lineRule="auto" w:line="300"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pregoeiro, não inferior a 02 (duas) horas, podendo ser prorrogado por igual período.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ascii="Arial" w:hAnsi="Arial"/>
          <w:b/>
          <w:bCs/>
          <w:sz w:val="21"/>
          <w:szCs w:val="21"/>
        </w:rPr>
        <w:t xml:space="preserve"> </w:t>
      </w:r>
      <w:r>
        <w:rPr>
          <w:rFonts w:ascii="Arial" w:hAnsi="Arial"/>
          <w:b/>
          <w:bCs/>
          <w:sz w:val="21"/>
          <w:szCs w:val="21"/>
        </w:rPr>
        <w:t>28 de outubro de 2024</w:t>
      </w:r>
    </w:p>
    <w:p>
      <w:pPr>
        <w:pStyle w:val="Normal"/>
        <w:widowControl/>
        <w:suppressAutoHyphens w:val="true"/>
        <w:bidi w:val="0"/>
        <w:spacing w:lineRule="auto" w:line="300"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300"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300" w:before="0" w:after="0"/>
        <w:ind w:left="0" w:right="0" w:hanging="0"/>
        <w:jc w:val="both"/>
        <w:rPr/>
      </w:pPr>
      <w:r>
        <w:rPr>
          <w:rFonts w:ascii="Arial" w:hAnsi="Arial"/>
          <w:b/>
          <w:bCs/>
          <w:sz w:val="21"/>
          <w:szCs w:val="21"/>
        </w:rPr>
        <w:t>INTERVALO MÍNIMO DE LANCES</w:t>
      </w:r>
      <w:r>
        <w:rPr>
          <w:rFonts w:ascii="Arial" w:hAnsi="Arial"/>
          <w:sz w:val="21"/>
          <w:szCs w:val="21"/>
        </w:rPr>
        <w:t>: R$ 0,01 (um centavo de real)</w:t>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DATA LIMITE PARA IMPUGNAÇÃO E ESCLARECIMENTOS: 23h59m do dia </w:t>
      </w:r>
      <w:r>
        <w:rPr>
          <w:rFonts w:ascii="Arial" w:hAnsi="Arial"/>
          <w:b/>
          <w:bCs/>
          <w:sz w:val="21"/>
          <w:szCs w:val="21"/>
        </w:rPr>
        <w:t>23 de outubro</w:t>
      </w:r>
      <w:r>
        <w:rPr>
          <w:rFonts w:ascii="Arial" w:hAnsi="Arial"/>
          <w:b/>
          <w:bCs/>
          <w:sz w:val="21"/>
          <w:szCs w:val="21"/>
        </w:rPr>
        <w:t xml:space="preserve"> de 2024.</w:t>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strike w:val="false"/>
          <w:dstrike w:val="false"/>
          <w:color w:val="000000"/>
          <w:sz w:val="21"/>
          <w:szCs w:val="21"/>
          <w:u w:val="none"/>
        </w:rPr>
        <w:t xml:space="preserve">OBJETO: </w:t>
      </w:r>
      <w:r>
        <w:rPr>
          <w:rFonts w:eastAsia="Arial" w:cs="Arial" w:ascii="Arial" w:hAnsi="Arial"/>
          <w:b w:val="false"/>
          <w:bCs/>
          <w:strike w:val="false"/>
          <w:dstrike w:val="false"/>
          <w:color w:val="000000"/>
          <w:sz w:val="22"/>
          <w:szCs w:val="21"/>
          <w:u w:val="none"/>
        </w:rPr>
        <w:t>A presente licita</w:t>
      </w:r>
      <w:r>
        <w:rPr>
          <w:rFonts w:ascii="Arial" w:hAnsi="Arial"/>
          <w:sz w:val="22"/>
        </w:rPr>
        <w:t>ção tem por objeto o REGISTRO DE PREÇOS  para eventual contratação com fornecimento parcelado, de materiais de sinalização viária (vertical e horizontal) tintas e correlatos, para uso dos Órgãos ou entidades do Município de Lindóia do Sul, na condição de Órgãos participantes desta licitação, de acordo com os quantitativos estimados e durante o prazo de vigência da ata de registro de preços.</w:t>
      </w:r>
    </w:p>
    <w:p>
      <w:pPr>
        <w:pStyle w:val="Default"/>
        <w:spacing w:lineRule="auto" w:line="300" w:before="0" w:after="0"/>
        <w:ind w:left="0" w:right="0" w:hanging="0"/>
        <w:rPr>
          <w:rFonts w:ascii="Arial" w:hAnsi="Arial"/>
          <w:b/>
          <w:b/>
          <w:strike w:val="false"/>
          <w:dstrike w:val="false"/>
          <w:color w:val="000000"/>
          <w:sz w:val="21"/>
          <w:szCs w:val="21"/>
          <w:u w:val="none"/>
        </w:rPr>
      </w:pPr>
      <w:r>
        <w:rPr>
          <w:rFonts w:ascii="Arial" w:hAnsi="Arial"/>
          <w:b/>
          <w:strike w:val="false"/>
          <w:dstrike w:val="false"/>
          <w:color w:val="000000"/>
          <w:sz w:val="21"/>
          <w:szCs w:val="21"/>
          <w:u w:val="none"/>
        </w:rPr>
      </w:r>
    </w:p>
    <w:p>
      <w:pPr>
        <w:pStyle w:val="Default"/>
        <w:spacing w:lineRule="auto" w:line="300" w:before="0" w:after="0"/>
        <w:ind w:left="0" w:right="0" w:hanging="0"/>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R$ 340.533,02 (trezentos e quarenta mil quinhentos e trinta e três reais e dois centavos).</w:t>
      </w:r>
    </w:p>
    <w:p>
      <w:pPr>
        <w:pStyle w:val="Default"/>
        <w:spacing w:lineRule="auto" w:line="300" w:before="0" w:after="0"/>
        <w:ind w:left="0" w:right="0" w:hanging="0"/>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300"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300"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1.1.  </w:t>
      </w:r>
      <w:r>
        <w:rPr>
          <w:rFonts w:ascii="Arial" w:hAnsi="Arial"/>
          <w:b w:val="false"/>
          <w:bCs/>
          <w:strike w:val="false"/>
          <w:dstrike w:val="false"/>
          <w:color w:val="000000"/>
          <w:sz w:val="22"/>
          <w:szCs w:val="21"/>
          <w:u w:val="none"/>
        </w:rPr>
        <w:t>O presente processo licitatório tem como finalidade a realização de pregão eletrônico, o qual possui como objeto o REGISTRO DE PREÇOS para eventual contratação, com fornecimento parcelado, de materiais de sinalização viária (vertical e horizontal) tintas e correlatos, para uso dos órgãos ou entidades do Município de Lindóia do Sul, na condição de Órgãos Participantes desta licitação, de acordo com os quantitativos estimados e durante o prazo de vigência da Ata de Registro de Preços.</w:t>
      </w:r>
    </w:p>
    <w:p>
      <w:pPr>
        <w:pStyle w:val="Default"/>
        <w:spacing w:lineRule="auto" w:line="300" w:before="0" w:after="0"/>
        <w:ind w:left="0" w:right="0" w:hanging="0"/>
        <w:jc w:val="both"/>
        <w:rPr>
          <w:rFonts w:ascii="Arial" w:hAnsi="Arial"/>
          <w:sz w:val="22"/>
        </w:rPr>
      </w:pPr>
      <w:r>
        <w:rPr>
          <w:rFonts w:ascii="Arial" w:hAnsi="Arial"/>
          <w:sz w:val="22"/>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1.2.</w:t>
      </w:r>
      <w:r>
        <w:rPr>
          <w:rFonts w:ascii="Arial" w:hAnsi="Arial"/>
          <w:b/>
          <w:strike w:val="false"/>
          <w:dstrike w:val="false"/>
          <w:color w:val="000000"/>
          <w:sz w:val="21"/>
          <w:szCs w:val="21"/>
          <w:u w:val="none"/>
        </w:rPr>
        <w:t xml:space="preserve"> </w:t>
      </w:r>
      <w:r>
        <w:rPr>
          <w:rFonts w:ascii="Arial" w:hAnsi="Arial"/>
          <w:b w:val="false"/>
          <w:strike w:val="false"/>
          <w:dstrike w:val="false"/>
          <w:color w:val="000000"/>
          <w:sz w:val="21"/>
          <w:szCs w:val="21"/>
          <w:u w:val="none"/>
        </w:rPr>
        <w:t>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w:t>
      </w:r>
    </w:p>
    <w:p>
      <w:pPr>
        <w:pStyle w:val="Default"/>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Fonts w:ascii="Arial" w:hAnsi="Arial"/>
          <w:sz w:val="21"/>
          <w:szCs w:val="21"/>
        </w:rPr>
        <w:t xml:space="preserve"> na plataforma eletrônica que ocorrerá o pregão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 </w:t>
      </w:r>
      <w:r>
        <w:rPr>
          <w:rFonts w:eastAsia="Calibri" w:cs="Arial" w:ascii="Arial" w:hAnsi="Arial"/>
          <w:b w:val="false"/>
          <w:bCs w:val="false"/>
          <w:kern w:val="0"/>
          <w:sz w:val="21"/>
          <w:szCs w:val="21"/>
          <w:lang w:eastAsia="pt-BR"/>
        </w:rPr>
        <w:t xml:space="preserve">Nos termos do inciso I do Art. 48 da Lei Complementar nº 123, de 14/12/2006, alteração dada pela Lei Complementar nº 147, de 07/08/2014, a presente licitação </w:t>
      </w:r>
      <w:r>
        <w:rPr>
          <w:rFonts w:eastAsia="Calibri" w:cs="Arial" w:ascii="Arial" w:hAnsi="Arial"/>
          <w:b/>
          <w:bCs/>
          <w:kern w:val="0"/>
          <w:sz w:val="21"/>
          <w:szCs w:val="21"/>
          <w:lang w:eastAsia="pt-BR"/>
        </w:rPr>
        <w:t>é destinada à exclusiva participação de Micro e Pequenas Empresas</w:t>
      </w:r>
    </w:p>
    <w:p>
      <w:pPr>
        <w:pStyle w:val="Normal"/>
        <w:widowControl/>
        <w:suppressAutoHyphens w:val="false"/>
        <w:spacing w:lineRule="auto" w:line="300" w:before="0" w:after="0"/>
        <w:ind w:left="0" w:right="0" w:hanging="0"/>
        <w:rPr>
          <w:rFonts w:ascii="Arial" w:hAnsi="Arial" w:eastAsia="Calibri" w:cs="Arial"/>
          <w:b/>
          <w:b/>
          <w:bCs/>
          <w:kern w:val="0"/>
          <w:sz w:val="21"/>
          <w:szCs w:val="21"/>
          <w:highlight w:val="yellow"/>
          <w:lang w:eastAsia="pt-BR"/>
        </w:rPr>
      </w:pPr>
      <w:r>
        <w:rPr>
          <w:rFonts w:eastAsia="Calibri" w:cs="Arial" w:ascii="Arial" w:hAnsi="Arial"/>
          <w:b/>
          <w:bCs/>
          <w:kern w:val="0"/>
          <w:sz w:val="21"/>
          <w:szCs w:val="21"/>
          <w:highlight w:val="yellow"/>
          <w:lang w:eastAsia="pt-BR"/>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2.3.1. </w:t>
      </w:r>
      <w:r>
        <w:rPr>
          <w:rFonts w:eastAsia="Calibri" w:cs="Arial" w:ascii="Arial" w:hAnsi="Arial"/>
          <w:b w:val="false"/>
          <w:bCs w:val="false"/>
          <w:kern w:val="0"/>
          <w:sz w:val="21"/>
          <w:szCs w:val="21"/>
          <w:lang w:eastAsia="pt-BR"/>
        </w:rPr>
        <w:t>Consideram-se Micro e Pequenas Empresas aptas à participação no presente certame aquelas que preencham os requisitos do art. 3º da Lei Complementar nº 123/2006 e que não se enquadrem em nenhum das situações descritas no Parágrafo 4º do referido Art. 3º.</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suppressAutoHyphens w:val="false"/>
        <w:bidi w:val="0"/>
        <w:spacing w:lineRule="auto" w:line="300" w:before="0" w:after="0"/>
        <w:ind w:left="0" w:right="0" w:hanging="0"/>
        <w:jc w:val="both"/>
        <w:rPr/>
      </w:pPr>
      <w:r>
        <w:rPr>
          <w:rFonts w:cs="Arial" w:ascii="Arial" w:hAnsi="Arial"/>
          <w:b w:val="false"/>
          <w:bCs w:val="false"/>
          <w:color w:val="000000"/>
          <w:kern w:val="2"/>
          <w:sz w:val="21"/>
          <w:szCs w:val="21"/>
          <w:lang w:eastAsia="zh-CN"/>
        </w:rPr>
        <w:t xml:space="preserve">2.3.2. </w:t>
      </w:r>
      <w:r>
        <w:rPr>
          <w:rFonts w:eastAsia="Calibri" w:cs="Arial" w:ascii="Arial" w:hAnsi="Arial"/>
          <w:b w:val="false"/>
          <w:bCs w:val="false"/>
          <w:kern w:val="0"/>
          <w:sz w:val="21"/>
          <w:szCs w:val="21"/>
          <w:lang w:eastAsia="pt-BR"/>
        </w:rPr>
        <w:t xml:space="preserve">Para fins de comprovação da condição de Micro ou Empresas de Pequeno Porte assim definidas aquelas que se enquadram na classificação descritas no art. 3º da Lei Complementar nº 123/2006, as Licitantes deverão apresentar Certidão Simplificada da junta Comercial, </w:t>
      </w:r>
      <w:r>
        <w:rPr>
          <w:rFonts w:eastAsia="Times New Roman" w:cs="Arial" w:ascii="Arial" w:hAnsi="Arial"/>
          <w:b w:val="false"/>
          <w:bCs w:val="false"/>
          <w:color w:val="000000"/>
          <w:kern w:val="0"/>
          <w:sz w:val="21"/>
          <w:szCs w:val="21"/>
          <w:lang w:eastAsia="zh-CN"/>
        </w:rPr>
        <w:t>ou outra declaração que comprove tal</w:t>
      </w:r>
      <w:r>
        <w:rPr>
          <w:rFonts w:eastAsia="Times New Roman" w:cs="Arial" w:ascii="Arial" w:hAnsi="Arial"/>
          <w:b/>
          <w:bCs/>
          <w:color w:val="000000"/>
          <w:kern w:val="0"/>
          <w:sz w:val="21"/>
          <w:szCs w:val="21"/>
          <w:lang w:eastAsia="zh-CN"/>
        </w:rPr>
        <w:t xml:space="preserve"> </w:t>
      </w:r>
      <w:r>
        <w:rPr>
          <w:rFonts w:eastAsia="Times New Roman" w:cs="Arial" w:ascii="Arial" w:hAnsi="Arial"/>
          <w:b w:val="false"/>
          <w:bCs w:val="false"/>
          <w:color w:val="000000"/>
          <w:kern w:val="0"/>
          <w:sz w:val="21"/>
          <w:szCs w:val="21"/>
          <w:lang w:eastAsia="zh-CN"/>
        </w:rPr>
        <w:t>enquadramento, assinado pelo representante legal da empresa, conforme ao que dispõe o § 2º, art 13 do Decreto nº 8.538 de 06 de outubro de 2015</w:t>
      </w:r>
      <w:r>
        <w:rPr>
          <w:rFonts w:eastAsia="Times New Roman" w:cs="Arial" w:ascii="Arial" w:hAnsi="Arial"/>
          <w:b w:val="false"/>
          <w:bCs/>
          <w:color w:val="000000"/>
          <w:kern w:val="0"/>
          <w:sz w:val="21"/>
          <w:szCs w:val="21"/>
          <w:lang w:eastAsia="zh-CN"/>
        </w:rPr>
        <w:t>.</w:t>
      </w:r>
    </w:p>
    <w:p>
      <w:pPr>
        <w:pStyle w:val="Normal"/>
        <w:widowControl/>
        <w:suppressAutoHyphens w:val="false"/>
        <w:spacing w:lineRule="auto" w:line="300" w:before="0" w:after="0"/>
        <w:ind w:left="0" w:right="0" w:hanging="0"/>
        <w:jc w:val="both"/>
        <w:rPr>
          <w:rFonts w:ascii="Arial" w:hAnsi="Arial" w:eastAsia="Calibri" w:cs="Arial"/>
          <w:b/>
          <w:b/>
          <w:bCs/>
          <w:kern w:val="0"/>
          <w:sz w:val="21"/>
          <w:szCs w:val="21"/>
          <w:lang w:eastAsia="pt-BR"/>
        </w:rPr>
      </w:pPr>
      <w:r>
        <w:rPr>
          <w:rFonts w:eastAsia="Calibri" w:cs="Arial" w:ascii="Arial" w:hAnsi="Arial"/>
          <w:b/>
          <w:bCs/>
          <w:kern w:val="0"/>
          <w:sz w:val="21"/>
          <w:szCs w:val="21"/>
          <w:lang w:eastAsia="pt-BR"/>
        </w:rPr>
      </w:r>
    </w:p>
    <w:p>
      <w:pPr>
        <w:pStyle w:val="Normal"/>
        <w:widowControl/>
        <w:suppressAutoHyphens w:val="false"/>
        <w:bidi w:val="0"/>
        <w:spacing w:lineRule="auto" w:line="300" w:before="0" w:after="0"/>
        <w:ind w:left="0" w:right="0" w:hanging="0"/>
        <w:jc w:val="both"/>
        <w:rPr/>
      </w:pPr>
      <w:r>
        <w:rPr>
          <w:rFonts w:eastAsia="Calibri" w:cs="Arial" w:ascii="Arial" w:hAnsi="Arial"/>
          <w:b w:val="false"/>
          <w:bCs w:val="false"/>
          <w:kern w:val="0"/>
          <w:sz w:val="21"/>
          <w:szCs w:val="21"/>
          <w:lang w:eastAsia="pt-BR"/>
        </w:rPr>
        <w:t xml:space="preserve">2.3.3. </w:t>
      </w:r>
      <w:r>
        <w:rPr>
          <w:rFonts w:cs="Arial" w:ascii="Arial" w:hAnsi="Arial"/>
          <w:b w:val="false"/>
          <w:bCs w:val="false"/>
          <w:color w:val="000000"/>
          <w:kern w:val="2"/>
          <w:sz w:val="21"/>
          <w:szCs w:val="21"/>
          <w:lang w:eastAsia="zh-CN"/>
        </w:rPr>
        <w:t>No caso de participação de sociedades simples, que não registrarem seus atos na Junta Comercial, deverão apresentar declaração assinada pelo representante legal e contabilista, atestando que sua receita bruta no ano calendário anterior, não ultrapassou o limite definido no inciso II do caput do Art. 3° da Lei Complementar 123/2006.</w:t>
      </w:r>
    </w:p>
    <w:p>
      <w:pPr>
        <w:pStyle w:val="Normal"/>
        <w:spacing w:lineRule="auto" w:line="300" w:before="0" w:after="0"/>
        <w:ind w:left="0" w:right="0" w:hanging="0"/>
        <w:jc w:val="both"/>
        <w:rPr>
          <w:rFonts w:ascii="Arial" w:hAnsi="Arial" w:eastAsia="Calibri" w:cs="Arial"/>
          <w:b/>
          <w:b/>
          <w:bCs/>
          <w:color w:val="000000"/>
          <w:kern w:val="2"/>
          <w:sz w:val="21"/>
          <w:szCs w:val="21"/>
          <w:highlight w:val="yellow"/>
          <w:lang w:eastAsia="zh-CN"/>
        </w:rPr>
      </w:pPr>
      <w:r>
        <w:rPr>
          <w:rFonts w:eastAsia="Calibri" w:cs="Arial" w:ascii="Arial" w:hAnsi="Arial"/>
          <w:b/>
          <w:bCs/>
          <w:color w:val="000000"/>
          <w:kern w:val="2"/>
          <w:sz w:val="21"/>
          <w:szCs w:val="21"/>
          <w:highlight w:val="yellow"/>
          <w:lang w:eastAsia="zh-CN"/>
        </w:rPr>
      </w:r>
    </w:p>
    <w:p>
      <w:pPr>
        <w:pStyle w:val="Normal"/>
        <w:widowControl w:val="false"/>
        <w:suppressAutoHyphens w:val="true"/>
        <w:bidi w:val="0"/>
        <w:spacing w:lineRule="auto" w:line="300" w:before="0" w:after="0"/>
        <w:ind w:left="0" w:right="0" w:hanging="0"/>
        <w:jc w:val="both"/>
        <w:rPr/>
      </w:pPr>
      <w:r>
        <w:rPr>
          <w:rFonts w:cs="Arial" w:ascii="Arial" w:hAnsi="Arial"/>
          <w:color w:val="000000"/>
          <w:kern w:val="2"/>
          <w:sz w:val="21"/>
          <w:szCs w:val="21"/>
          <w:lang w:eastAsia="zh-CN"/>
        </w:rPr>
        <w:t xml:space="preserve">2.4. Poderão participar da presente licitação </w:t>
      </w:r>
      <w:r>
        <w:rPr>
          <w:rFonts w:cs="Arial" w:ascii="Arial" w:hAnsi="Arial"/>
          <w:b/>
          <w:color w:val="000000"/>
          <w:kern w:val="2"/>
          <w:sz w:val="21"/>
          <w:szCs w:val="21"/>
          <w:lang w:eastAsia="zh-CN"/>
        </w:rPr>
        <w:t>EXCLUSIVAMENTE Micro Empresas e/ou Empresa de Pequeno Porte.</w:t>
      </w:r>
    </w:p>
    <w:p>
      <w:pPr>
        <w:pStyle w:val="Normal"/>
        <w:widowControl w:val="false"/>
        <w:suppressAutoHyphens w:val="true"/>
        <w:bidi w:val="0"/>
        <w:spacing w:lineRule="auto" w:line="300" w:before="0" w:after="0"/>
        <w:ind w:left="0" w:right="0" w:hanging="0"/>
        <w:jc w:val="both"/>
        <w:rPr>
          <w:rFonts w:ascii="Arial" w:hAnsi="Arial" w:cs="Arial"/>
          <w:b/>
          <w:b/>
          <w:color w:val="000000"/>
          <w:kern w:val="2"/>
          <w:sz w:val="21"/>
          <w:szCs w:val="21"/>
          <w:lang w:eastAsia="zh-CN"/>
        </w:rPr>
      </w:pPr>
      <w:r>
        <w:rPr>
          <w:rFonts w:cs="Arial" w:ascii="Arial" w:hAnsi="Arial"/>
          <w:b/>
          <w:color w:val="000000"/>
          <w:kern w:val="2"/>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4.1. O Pregão, na forma Eletrônica, será realizado em sessão pública, por meio da INTERNET, mediante condições de segurança - criptografia e autenticação - em todas as suas fases através do Sistema de Pregão, na Forma Eletrônica (licitações)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4.2. A Sessão eletrônica e todos os demais Atos Administrativos serão conduzidos pelo Município de Lindóia do Sul, por intermédio de(a) seu(ua) Pregoeiro(a), mediante a inserção e monitoramento de dados gerados ou transferidos para plataforma digital constante da página eletrônica da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6.1. Poderão participar desta Licitação todas e quaisquer empresas ou sociedades  que se enquadrem como Micro e Pequenas Empresas,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6.2. Poderão participar deste Pregão Eletrônico as empresas que apresentarem toda a documentação por ela exigida para respectivo cadastramento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6.3. Como requisito para participação no pregão,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300"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300"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300"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300"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300"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300"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300"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300"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300"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6.6. O licitante deverá ter feito a adesão ao Portal de Compras Públicas, sendo sua a responsabilidade pela tramitação prévia neste sentido.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6.7.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w:t>
      </w:r>
      <w:r>
        <w:rPr>
          <w:rFonts w:ascii="Arial" w:hAnsi="Arial"/>
          <w:sz w:val="21"/>
          <w:szCs w:val="21"/>
          <w:shd w:fill="FFFFFF" w:val="clear"/>
        </w:rPr>
        <w:t>dital (ANEXO IV).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6.8.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 O certame será conduzido pelo Pregoeiro(a), com o auxílio da equipe de apoio, que terá, em especial, as seguintes atribuições: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300"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300"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300"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300"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300"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300"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300"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300"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300"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300"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300"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7.1.1. O pregoeiro poderá solicitar manifestação técnica da assessoria jurídica ou de outros agentes públicos, de setores da entidade, a fim de subsidiar sua decisão.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7.2. CREDENCIAMENTO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7.2.1 Para acesso ao sistema eletrônico, os interessados em participar do Pregão Eletrônico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7.2.2. A chave de identificação e a senha dos operadores poderão ser utilizadas em qualquer pregão eletrônico, salvo quando canceladas por solicitação do Usuário ou por iniciativa do Portal de Compras Públicas.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ao pregão eletrônico, bem como a aceitabilidade no que se refere as regras dos editais eletrônicos que escolher participar.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7.3.</w:t>
      </w:r>
      <w:r>
        <w:rPr>
          <w:rFonts w:ascii="Arial" w:hAnsi="Arial"/>
          <w:sz w:val="21"/>
          <w:szCs w:val="21"/>
        </w:rPr>
        <w:t xml:space="preserve"> </w:t>
      </w:r>
      <w:r>
        <w:rPr>
          <w:rFonts w:ascii="Arial" w:hAnsi="Arial"/>
          <w:b/>
          <w:bCs/>
          <w:sz w:val="21"/>
          <w:szCs w:val="21"/>
        </w:rPr>
        <w:t>PARTICIPAÇÃO</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7.3.1. A participação no Pregão Eletrônico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7.3.2. Caberá ao licitante acompanhar as operações no sistema eletrônico durante a sessão pública do pregão, ficando responsável pelo ônus decorrentes da perda de negócios diante da inobservância de quaisquer mensagens emitidas pelo sistema ou de sua desconexão.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7.3.3. A participação do licitante nesta Licitação implica em aceitação de todos os termos deste Edital, e obrigará o proponente vencedor a entrega dos itens nas condições, locais e prazos definidos.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7.4. PROPOSTA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 e totais de todos os itens ofertados.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7.4.11. Até a data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pregoeiro, não inferior a 02 (duas) horas.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Pregoeiro e para acesso público após o encerramento do envio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7.4.14. Nos preços propostos deverão estar incluídos todos os custos diretos e indiretos necessários à perfeita execução do objeto,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300" w:before="0" w:after="0"/>
        <w:ind w:left="0" w:right="0" w:hanging="0"/>
        <w:jc w:val="both"/>
        <w:rPr>
          <w:b w:val="false"/>
          <w:b w:val="false"/>
          <w:strike w:val="false"/>
          <w:dstrike w:val="false"/>
          <w:color w:val="000000"/>
          <w:u w:val="none"/>
        </w:rPr>
      </w:pPr>
      <w:r>
        <w:rPr>
          <w:b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300" w:before="0" w:after="0"/>
        <w:ind w:left="0" w:right="0" w:hanging="0"/>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300"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 A partir do horário previsto no Edital e no site www.portaldecompraspublicas.com.br, terá início a sessão pública do pregão, na forma eletrônica, com a divulgação das propostas de preços recebidas, passando o Pregoeiro (a) a avaliar a aceitabilidade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8.6. Durante a sessão pública, a comunicação entre o(a) Pregoeiro(a) e as licitantes ocorrerá exclusivamente mediante troca de mensagens, em campo próprio do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8.7. Os itens, caso existentes, poderão ser disponibilizados por grupo, para otimização dos trabalhos do(a) Pregoeiro(a) e da Equipe de Apoio e a disputa de lances poderá se estender para outros dias, se necessário.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8.10. </w:t>
      </w:r>
      <w:r>
        <w:rPr>
          <w:rFonts w:eastAsia="Times New Roman" w:cs="Arial" w:ascii="Arial" w:hAnsi="Arial"/>
          <w:bCs/>
          <w:color w:val="000000"/>
          <w:kern w:val="0"/>
          <w:sz w:val="21"/>
          <w:szCs w:val="21"/>
          <w:lang w:eastAsia="zh-CN"/>
        </w:rPr>
        <w:t>Durante a sessão pública do Pregão Eletrônico, os licitantes serão informados em tempo real, do valor do menor lance registrado, vedada a identificação do seu detentor.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8.11. No caso de desconexão com o(a) Pregoeiro(a), no decorrer da etapa competitiva do Pregão, na Forma Eletrônica, o sistema eletrônico poderá permanecer acessível às licitantes para a recepção dos lances, retornando o(a) Pregoeiro(a), quando possível, sua atuação no certame, sem prejuízos dos atos realizados.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8.11.1. Quando a desconexão persistir por tempo superior a 10 (dez) minutos, a sessão do Pregão,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8.12. Será adotado para o envio de lances no pregão eletrônico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8.15. Encerrada a fase competitiva sem que haja a prorrogação automática pelo sistema, poderá o(a) Pregoeiro(a), assessorado pela equipe de apoio, justificadamente, admitir o reinício da sessão pública de lances, em prol da consecução do melhor preço.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 pregoeiro(a) acerca da aceitação do lance de menor valor.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8.17. O não cumprimento do envio dos documentos de habilitação exigidos neste Edital no prazo fixado, acarretará nas sanções previstas neste Edital, podendo o(a) Pregoeiro(a) convocar a empresa que apresentou a proposta ou o lance subsequente.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8.18. Se a proposta ou o lance de menor valor não for aceitável, ou se o fornecedor desatender às exigências habilitatórias, o Pregoeiro(a) examinará a proposta ou o lance subsequente, verificando a sua compatibilidade e a habilitação do participante, na ordem de classificação, e assim sucessivamente, até a apuração de uma proposta ou lance que atenda o Edital. Também nessa etapa o(a) Pregoeiro(a) poderá negociar com o participante para que seja obtido preço melhor.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 O(A) Pregoeiro(a)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8.20.1. O prazo estabelecido poderá ser prorrogado pelo Pregoeiro por solicitação escrita e justificada do licitante, formulada antes de findo o prazo, e formalmente aceita pelo(a) Pregoeiro(a).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8.20.2. Dentre os documentos passíveis de solicitação pelo(a) Pregoeiro(a),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 Pregoeiro, sem prejuízo do seu ulterior envio pelo sistema eletrônico, sob pena de não aceitação da proposta.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8.21. Quando for constatado o empate, serão utilizados os critérios previstos no art. 60,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8.22.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 A Empresa vencedora, deverá enviar ao(a) Pregoeiro(a), via sistema, a Proposta de Preços adequada ao último lance ofertado, após a negociação (podendo ser utilizado o modelo constante do ANEXO II), no prazo mínimo de 02 (duas) horas, podendo ser prorrogável por igual período, contado da solicitação do(a) Pregoeiro(a), acompanhada, se for o caso, dos documentos complementares, quando necessários à confirmação daqueles exigidos neste Edital e já apresentados.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9.1.1. NA PROPOSTA ESCRITA, VIA SISTEMA, DEVERÁ CONTER: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nos preços propostos deverão estar incluídos todos os custos diretos e indiretos necessários à perfeita execução do objeto, como: entregas,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conter discriminados em moeda corrente nacional os preços dos itens limitados a 02 (duas) casas decimais para os centavos;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Valor unitário e valor total com a quantidade estimada e descritivo de cada item.</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O prazo de validade da proposta de preços que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g) conter o prazo de execução conforme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h) Dados bancários, dados do representante legal, declaração de domicílio eletrônico e declaração de assinatura por certificação digital.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Default"/>
        <w:spacing w:lineRule="auto" w:line="300" w:before="0" w:after="0"/>
        <w:ind w:left="0" w:right="0" w:hanging="0"/>
        <w:jc w:val="left"/>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300" w:before="0" w:after="0"/>
        <w:ind w:left="0" w:right="0" w:hanging="0"/>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300" w:before="0" w:after="0"/>
        <w:ind w:left="0" w:right="0" w:hanging="0"/>
        <w:jc w:val="both"/>
        <w:rPr/>
      </w:pPr>
      <w:r>
        <w:rPr>
          <w:rFonts w:ascii="Arial" w:hAnsi="Arial"/>
          <w:b w:val="false"/>
          <w:bCs w:val="false"/>
          <w:i w:val="false"/>
          <w:strike w:val="false"/>
          <w:dstrike w:val="false"/>
          <w:color w:val="000000"/>
          <w:sz w:val="21"/>
          <w:szCs w:val="21"/>
          <w:u w:val="none"/>
        </w:rPr>
        <w:t>9.2.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300" w:before="0" w:after="0"/>
        <w:ind w:left="0" w:right="0" w:hanging="0"/>
        <w:rPr>
          <w:b/>
          <w:b/>
          <w:i w:val="false"/>
          <w:i w:val="false"/>
          <w:strike w:val="false"/>
          <w:dstrike w:val="false"/>
          <w:color w:val="000000"/>
          <w:u w:val="none"/>
        </w:rPr>
      </w:pPr>
      <w:r>
        <w:rPr>
          <w:b/>
          <w:i w:val="false"/>
          <w:strike w:val="false"/>
          <w:dstrike w:val="false"/>
          <w:color w:val="000000"/>
          <w:u w:val="none"/>
        </w:rPr>
      </w:r>
    </w:p>
    <w:p>
      <w:pPr>
        <w:pStyle w:val="Default"/>
        <w:spacing w:lineRule="auto" w:line="300" w:before="0" w:after="0"/>
        <w:ind w:left="0" w:right="0" w:hanging="0"/>
        <w:rPr/>
      </w:pPr>
      <w:r>
        <w:rPr>
          <w:rFonts w:ascii="Arial" w:hAnsi="Arial"/>
          <w:b w:val="false"/>
          <w:bCs w:val="false"/>
          <w:i w:val="false"/>
          <w:strike w:val="false"/>
          <w:dstrike w:val="false"/>
          <w:color w:val="000000"/>
          <w:sz w:val="21"/>
          <w:szCs w:val="21"/>
          <w:u w:val="none"/>
        </w:rPr>
        <w:t>9.3.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9.4. Para efeito de adjudicação deste Pregão,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Pregoeiro encaminhará o processo à Secretaria Municipal solicitante, a fim de que seja emitido Parecer Técnico referente à proposta vencedora.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9.5. Ocorrendo a desclassificação da empresa vencedora, os autos serão devolvidos ao Pregoeiro, para que esta realize nova negociação com as demais empresas, obedecendo-se à ordem de classificação, por menor preço por item.</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9.6. Somente após tal procedimento, a Autoridade Competente fará a adjudicação à empresa vencedora.</w:t>
      </w:r>
    </w:p>
    <w:p>
      <w:pPr>
        <w:pStyle w:val="Normal"/>
        <w:widowControl/>
        <w:suppressAutoHyphens w:val="false"/>
        <w:spacing w:lineRule="auto" w:line="300"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850" w:right="0" w:hanging="0"/>
        <w:jc w:val="both"/>
        <w:rPr/>
      </w:pPr>
      <w:r>
        <w:rPr>
          <w:rFonts w:ascii="Arial" w:hAnsi="Arial"/>
          <w:sz w:val="21"/>
          <w:szCs w:val="21"/>
        </w:rPr>
        <w:t>c) Declaração de Cumprimento Pleno dos Requisitos de Habilitação, conforme modelo (ANEXO III). Obs.: Se for Microempresa ou Empresa de Pequeno Porte – EPP com problemas na habilitação, fazer constar tal ressalva e comprovando condição.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sz w:val="21"/>
          <w:szCs w:val="21"/>
          <w:lang w:eastAsia="zh-CN"/>
        </w:rPr>
        <w:t>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e) Declaração de que não tenham celebrado contratos com a Administração Pública cujos valores somados extrapolem a receita bruta máxima admitida para fins de enquadramento como empresa de pequeno porte (ANEXO VII).</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VIII);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IX);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sz w:val="21"/>
          <w:szCs w:val="21"/>
          <w:lang w:eastAsia="zh-CN"/>
        </w:rPr>
        <w:t>DECLARAÇÃO de que a empresa interessada tomou conhecimento das especificações e normas pertinentes à execução dos serviços (conforme modelo constante do ANEXO XI),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b/>
          <w:bCs/>
          <w:color w:val="000000"/>
          <w:sz w:val="21"/>
          <w:szCs w:val="21"/>
          <w:lang w:val="pt-BR" w:eastAsia="zh-CN" w:bidi="hi-IN"/>
        </w:rPr>
      </w:pPr>
      <w:r>
        <w:rPr>
          <w:rFonts w:eastAsia="Times New Roman" w:cs="Arial" w:ascii="Arial" w:hAnsi="Arial"/>
          <w:b/>
          <w:bCs/>
          <w:color w:val="000000"/>
          <w:sz w:val="21"/>
          <w:szCs w:val="21"/>
          <w:lang w:val="pt-BR" w:eastAsia="zh-CN" w:bidi="hi-IN"/>
        </w:rPr>
      </w:r>
    </w:p>
    <w:p>
      <w:pPr>
        <w:pStyle w:val="Normal"/>
        <w:widowControl/>
        <w:suppressAutoHyphens w:val="true"/>
        <w:bidi w:val="0"/>
        <w:spacing w:lineRule="auto" w:line="276" w:before="0" w:after="0"/>
        <w:ind w:left="850" w:right="0" w:hanging="0"/>
        <w:jc w:val="both"/>
        <w:rPr>
          <w:b/>
          <w:b/>
          <w:bCs/>
        </w:rPr>
      </w:pPr>
      <w:r>
        <w:rPr>
          <w:rFonts w:eastAsia="Times New Roman" w:cs="Arial" w:ascii="Arial" w:hAnsi="Arial"/>
          <w:b/>
          <w:bCs/>
          <w:color w:val="000000"/>
          <w:sz w:val="21"/>
          <w:szCs w:val="21"/>
          <w:lang w:eastAsia="zh-CN"/>
        </w:rPr>
        <w:t xml:space="preserve">s)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sz w:val="21"/>
          <w:szCs w:val="21"/>
          <w:lang w:eastAsia="pt-BR"/>
        </w:rPr>
        <w:t xml:space="preserve">Portanto, inclusive, a empresa declara que também está em conformidade com o que prevê o art. </w:t>
      </w:r>
      <w:r>
        <w:rPr>
          <w:rFonts w:eastAsia="Times New Roman" w:cs="Arial" w:ascii="Arial" w:hAnsi="Arial"/>
          <w:b/>
          <w:bCs/>
          <w:color w:val="000000"/>
          <w:sz w:val="21"/>
          <w:szCs w:val="21"/>
          <w:lang w:eastAsia="zh-CN"/>
        </w:rPr>
        <w:t>54 I “a” da Constituição Federal e art. 43 I ”a” e II “a” da Constituição do Estado de Santa Catarina.</w:t>
      </w:r>
      <w:r>
        <w:rPr>
          <w:rFonts w:eastAsia="Times New Roman" w:cs="Arial" w:ascii="Arial" w:hAnsi="Arial"/>
          <w:b/>
          <w:bCs/>
          <w:color w:val="000000"/>
          <w:sz w:val="21"/>
          <w:szCs w:val="21"/>
          <w:lang w:eastAsia="pt-BR"/>
        </w:rPr>
        <w:t xml:space="preserve"> </w:t>
      </w:r>
      <w:r>
        <w:rPr>
          <w:rFonts w:eastAsia="Times New Roman" w:cs="Arial" w:ascii="Arial" w:hAnsi="Arial"/>
          <w:b/>
          <w:bCs/>
          <w:color w:val="000000"/>
          <w:sz w:val="21"/>
          <w:szCs w:val="21"/>
          <w:lang w:eastAsia="zh-CN"/>
        </w:rPr>
        <w:t>(</w:t>
      </w:r>
      <w:r>
        <w:rPr>
          <w:rFonts w:eastAsia="Times New Roman" w:cs="Arial" w:ascii="Arial" w:hAnsi="Arial"/>
          <w:b/>
          <w:bCs/>
          <w:color w:val="000000"/>
          <w:sz w:val="21"/>
          <w:szCs w:val="21"/>
          <w:shd w:fill="FFFF00" w:val="clear"/>
          <w:lang w:eastAsia="zh-CN"/>
        </w:rPr>
        <w:t>Deve constar expressamente toda descrição contida nesta alínea,</w:t>
      </w:r>
      <w:r>
        <w:rPr>
          <w:rFonts w:eastAsia="Times New Roman" w:cs="Arial" w:ascii="Arial" w:hAnsi="Arial"/>
          <w:b/>
          <w:bCs/>
          <w:color w:val="000000"/>
          <w:sz w:val="21"/>
          <w:szCs w:val="21"/>
          <w:lang w:eastAsia="zh-CN"/>
        </w:rPr>
        <w:t xml:space="preserve"> conforme ANEXO V).</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eastAsia="SimSun" w:cs="Arial"/>
          <w:color w:val="00000A"/>
          <w:sz w:val="21"/>
          <w:szCs w:val="21"/>
          <w:lang w:val="pt-BR" w:eastAsia="zh-CN" w:bidi="hi-IN"/>
        </w:rPr>
      </w:pPr>
      <w:r>
        <w:rPr>
          <w:rFonts w:eastAsia="SimSun" w:cs="Ari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t)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eastAsia="zh-CN"/>
        </w:rPr>
        <w:t>t.1)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sz w:val="21"/>
            <w:szCs w:val="21"/>
            <w:lang w:eastAsia="zh-CN"/>
          </w:rPr>
          <w:t>https://contas.tcu.gov.br/ords/f?p=704144:3:102385750945059::NO:3,4,6</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eastAsia="zh-CN"/>
        </w:rPr>
        <w:t xml:space="preserve">t.3)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sz w:val="21"/>
            <w:szCs w:val="21"/>
            <w:lang w:eastAsia="zh-CN"/>
          </w:rPr>
          <w:t>https://www.cnj.jus.br/improbidade_adm/consultar_requerido.php</w:t>
        </w:r>
      </w:hyperlink>
      <w:r>
        <w:rPr>
          <w:rFonts w:eastAsia="Times New Roman" w:cs="Arial" w:ascii="Arial" w:hAnsi="Arial"/>
          <w:bCs/>
          <w:color w:val="00000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t.4)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rPr>
        <w:t>t.5) As consultas para o CNPJ do licitante, constante nos itens “t.2”, “t.3” e “t.4”, poderão ser substituídas pela Certidão Consolidada de Pessoa Jurídica, do Tribunal de Contas da União.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pPr>
      <w:r>
        <w:rPr>
          <w:rFonts w:eastAsia="Arial" w:cs="Arial" w:ascii="Arial" w:hAnsi="Arial"/>
          <w:sz w:val="21"/>
          <w:szCs w:val="21"/>
        </w:rPr>
        <w:t xml:space="preserve"> </w:t>
      </w: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Pregoeiro (a) e/ou requeridas à licitante.</w:t>
      </w:r>
    </w:p>
    <w:p>
      <w:pPr>
        <w:pStyle w:val="Normal"/>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rPr>
      </w:pPr>
      <w:r>
        <w:rPr>
          <w:rFonts w:cs="Arial"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pacing w:lineRule="auto" w:line="300"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300"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300"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10.8.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11. DAS OBRIGAÇÕES DA(S) VENCEDORA(S)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300"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00"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300"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300"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00" w:before="0" w:after="0"/>
        <w:ind w:left="0" w:right="0" w:hanging="0"/>
        <w:jc w:val="both"/>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00" w:before="0" w:after="0"/>
        <w:ind w:left="0" w:right="0" w:hanging="0"/>
        <w:jc w:val="both"/>
        <w:rPr/>
      </w:pPr>
      <w:r>
        <w:rPr>
          <w:rFonts w:ascii="Arial" w:hAnsi="Arial"/>
          <w:sz w:val="21"/>
          <w:szCs w:val="21"/>
        </w:rPr>
        <w:tab/>
        <w:t>f) Nomear responsável para, durante o período de vigência, representá-lo na execução da Ata/Contrato;</w:t>
      </w:r>
    </w:p>
    <w:p>
      <w:pPr>
        <w:pStyle w:val="Normal"/>
        <w:widowControl/>
        <w:suppressAutoHyphens w:val="true"/>
        <w:bidi w:val="0"/>
        <w:spacing w:lineRule="auto" w:line="300"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00"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300" w:before="0" w:after="0"/>
        <w:ind w:left="0" w:right="0" w:hanging="0"/>
        <w:jc w:val="both"/>
        <w:rPr/>
      </w:pPr>
      <w:r>
        <w:rPr>
          <w:rFonts w:ascii="Arial" w:hAnsi="Arial"/>
          <w:sz w:val="21"/>
          <w:szCs w:val="21"/>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00"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00" w:before="0" w:after="0"/>
        <w:ind w:left="0" w:right="0" w:hanging="0"/>
        <w:jc w:val="both"/>
        <w:rPr/>
      </w:pPr>
      <w:r>
        <w:rPr>
          <w:rFonts w:ascii="Arial" w:hAnsi="Arial"/>
          <w:sz w:val="21"/>
          <w:szCs w:val="21"/>
        </w:rPr>
        <w:tab/>
        <w:t>k) Outras obrigações previstas no Edital, Termo de Referência, na Ata de Registro de Preços/Contrato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da ata de registro de preços/contrato,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serviço/solicitação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300" w:before="0" w:after="0"/>
        <w:ind w:left="0" w:right="0" w:hanging="0"/>
        <w:jc w:val="both"/>
        <w:rPr>
          <w:highlight w:val="none"/>
          <w:shd w:fill="auto" w:val="clear"/>
        </w:rPr>
      </w:pPr>
      <w:r>
        <w:rPr>
          <w:rFonts w:eastAsia="Times New Roman" w:cs="Arial" w:ascii="Arial" w:hAnsi="Arial"/>
          <w:bCs/>
          <w:color w:val="000000"/>
          <w:kern w:val="0"/>
          <w:sz w:val="21"/>
          <w:szCs w:val="21"/>
          <w:shd w:fill="auto" w:val="clear"/>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12.3. A presente Licitação será adjudicada à licitante que apresentar proposta MAIS VANTAJOSA, JULGAMENTO POR ITEM, conforme mencionado no preâmbulo, desde que atendidas às demais exigências deste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antes da data de abertura do certame.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antes da data de abertura do certame; ou</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 no endereço informado no preâmbulo do edital.</w:t>
      </w:r>
    </w:p>
    <w:p>
      <w:pPr>
        <w:pStyle w:val="Normal"/>
        <w:widowControl/>
        <w:suppressAutoHyphens w:val="true"/>
        <w:bidi w:val="0"/>
        <w:spacing w:lineRule="auto" w:line="300" w:before="0" w:after="0"/>
        <w:ind w:left="0" w:right="0" w:hanging="0"/>
        <w:jc w:val="both"/>
        <w:rPr/>
      </w:pPr>
      <w:r>
        <w:rPr>
          <w:rFonts w:ascii="Arial" w:hAnsi="Arial"/>
          <w:sz w:val="21"/>
          <w:szCs w:val="21"/>
        </w:rPr>
        <w:tab/>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13.2.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rPr>
        <w:t>13.3.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Corpodetexto22"/>
        <w:spacing w:lineRule="auto" w:line="300" w:before="0" w:after="0"/>
        <w:ind w:left="0" w:right="0" w:hanging="0"/>
        <w:jc w:val="both"/>
        <w:rPr/>
      </w:pPr>
      <w:r>
        <w:rPr>
          <w:rFonts w:cs="Arial"/>
          <w:b/>
          <w:bCs/>
          <w:color w:val="000000"/>
          <w:sz w:val="21"/>
          <w:szCs w:val="21"/>
        </w:rPr>
        <w:t>14. DO REGISTRO DE PREÇOS</w:t>
      </w:r>
    </w:p>
    <w:p>
      <w:pPr>
        <w:pStyle w:val="Corpodetexto22"/>
        <w:spacing w:lineRule="auto" w:line="300" w:before="0" w:after="0"/>
        <w:ind w:left="0" w:right="0" w:hanging="0"/>
        <w:jc w:val="both"/>
        <w:rPr/>
      </w:pPr>
      <w:r>
        <w:rPr>
          <w:rFonts w:eastAsia="Arial" w:cs="Arial"/>
          <w:b/>
          <w:bCs/>
          <w:color w:val="000000"/>
          <w:sz w:val="21"/>
          <w:szCs w:val="21"/>
        </w:rPr>
        <w:t xml:space="preserve"> </w:t>
      </w:r>
    </w:p>
    <w:p>
      <w:pPr>
        <w:pStyle w:val="Corpodetexto22"/>
        <w:spacing w:lineRule="auto" w:line="300" w:before="0" w:after="0"/>
        <w:ind w:left="0" w:right="0" w:hanging="0"/>
        <w:jc w:val="both"/>
        <w:rPr/>
      </w:pPr>
      <w:r>
        <w:rPr>
          <w:rFonts w:cs="Arial"/>
          <w:bCs/>
          <w:color w:val="000000"/>
          <w:sz w:val="21"/>
          <w:szCs w:val="21"/>
        </w:rPr>
        <w:t>14.1. Após a homologação do resultado da licitação e adjudicação do objeto pela autoridade competente, os vencedores serão convocados, para no prazo máximo de 05 (cinco) dias úteis a contar da convocação, assinar a Ata de Registro de Preços, sob pena das sanções previstas neste Edital.</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14.1.1. O prazo de convocação poderá ser prorrogado 1 (uma) vez, por igual período, mediante solicitação da parte durante seu transcurso, devidamente justificada, e desde que o motivo apresentado seja aceito pela Administração.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14.1.2. É facultado à Administração, quando a(s) proponente(s) vencedora(s) não atender(em) à convocação para assinatura da Ata de Registro de Preços, nos termos supra referidos, convocar outro licitante, desde que respeitada a ordem de classificação, com vistas à obtenção de preço melhor, mesmo que acima do preço ou inferior ao desconto do adjudicatário, desde que comprovados os requisitos habilitatórios e feita a negociação, para assinar a ata de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14.1.3. A recusa injustificada do adjudicatário em assinar a Ata de Registro de Preços caracterizará o descumprimento total da obrigação assumida e o sujeitará às penalidades legalmente estabelecidas e à imediata perda da garantia de proposta em favor do município.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14.2. Para a assinatura da Ata de Registro de Preços, será considerado o simples fato da empresa vencedora participar do certame licitatório e ter apresentado sua proposta final, para a Comissão, como ato concreto, tendo em vista a realização de Pregão Eletrônico.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 xml:space="preserve">14.3.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14.3.1.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14.4.2. Nos casos de não confirmação do recebimento, será considerada válida a comunicação a partir do 2º dia útil da data de envio.</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14.5. Os preços relacionados na Ata de Registro de Preços poderão sofrer alterações, em decorrência de eventual redução daqueles praticados no mercado, ou de fato que eleve o custo dos bens registrados, desde que devidamente justificados e comprovados.</w:t>
      </w:r>
    </w:p>
    <w:p>
      <w:pPr>
        <w:pStyle w:val="Corpodetexto22"/>
        <w:spacing w:lineRule="auto" w:line="300" w:before="0" w:after="0"/>
        <w:ind w:left="0" w:right="0" w:hanging="0"/>
        <w:jc w:val="both"/>
        <w:rPr>
          <w:rFonts w:ascii="Arial" w:hAnsi="Arial"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 w:val="false"/>
          <w:bCs w:val="false"/>
          <w:color w:val="000000"/>
          <w:sz w:val="21"/>
          <w:szCs w:val="21"/>
        </w:rPr>
        <w:t>14.6. Durante o prazo de validade do Registro de Preços, a Administração Municipal poderá ou não, adquirir a totalidade das quantidades registradas, objeto deste Pregão.</w:t>
      </w:r>
    </w:p>
    <w:p>
      <w:pPr>
        <w:pStyle w:val="Corpodetexto22"/>
        <w:spacing w:lineRule="auto" w:line="300" w:before="0" w:after="0"/>
        <w:ind w:left="0" w:right="0" w:hanging="0"/>
        <w:jc w:val="both"/>
        <w:rPr>
          <w:rFonts w:ascii="Arial" w:hAnsi="Arial" w:cs="Arial"/>
          <w:b w:val="false"/>
          <w:b w:val="false"/>
          <w:bCs w:val="false"/>
          <w:color w:val="000000"/>
          <w:sz w:val="21"/>
          <w:szCs w:val="21"/>
        </w:rPr>
      </w:pPr>
      <w:r>
        <w:rPr>
          <w:rFonts w:cs="Arial"/>
          <w:b w:val="false"/>
          <w:bCs w:val="false"/>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 xml:space="preserve">15. </w:t>
      </w:r>
      <w:r>
        <w:rPr>
          <w:rFonts w:eastAsia="Times New Roman" w:cs="Arial" w:ascii="Arial" w:hAnsi="Arial"/>
          <w:b/>
          <w:bCs/>
          <w:color w:val="000000"/>
          <w:kern w:val="0"/>
          <w:sz w:val="21"/>
          <w:szCs w:val="21"/>
          <w:lang w:eastAsia="pt-BR"/>
        </w:rPr>
        <w:t>DO CADASTRO RESERVA</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0"/>
          <w:sz w:val="21"/>
          <w:szCs w:val="21"/>
          <w:lang w:eastAsia="pt-BR"/>
        </w:rPr>
      </w:pPr>
      <w:r>
        <w:rPr>
          <w:rFonts w:eastAsia="Times New Roman" w:cs="Arial" w:ascii="Arial" w:hAnsi="Arial"/>
          <w:b/>
          <w:bCs/>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 Após o encerramento da etapa competitiva, os licitantes poderão reduzir seus preços ao valor da proposta do licitante mais bem classificado, mediante a formulação de novo lance no sistema de gerenciamento do referido certame.</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 xml:space="preserve">15.1.1. Não havendo no sistema de gerenciamento do certame, campo para registro de lance com valor igual ao do vencedor, visando a formação do cadastro reserva, a licitante interessada deverá, no prazo de 2 (dois) dias após encerrada a sessão, encaminhar proposta visando a formação do cadastro, no e-mail </w:t>
      </w:r>
      <w:hyperlink r:id="rId12">
        <w:r>
          <w:rPr>
            <w:rStyle w:val="LinkdaInternet"/>
            <w:rFonts w:eastAsia="Times New Roman" w:cs="Arial" w:ascii="Arial" w:hAnsi="Arial"/>
            <w:color w:val="000000"/>
            <w:kern w:val="0"/>
            <w:sz w:val="21"/>
            <w:szCs w:val="21"/>
            <w:lang w:eastAsia="pt-BR"/>
          </w:rPr>
          <w:t>licita@lindoiadosul.sc.gov.br</w:t>
        </w:r>
      </w:hyperlink>
      <w:r>
        <w:rPr>
          <w:rFonts w:eastAsia="Times New Roman" w:cs="Arial" w:ascii="Arial" w:hAnsi="Arial"/>
          <w:color w:val="000000"/>
          <w:kern w:val="0"/>
          <w:sz w:val="21"/>
          <w:szCs w:val="21"/>
          <w:lang w:eastAsia="pt-BR"/>
        </w:rPr>
        <w:t>.</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15.1.2. A apresentação de novas propostas na forma deste item não prejudicará o resultado do certame em relação ao licitante melhor classificado.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15.2. Havendo um ou mais licitantes que aceitem cotar suas propostas em valor igual ao do licitante vencedor, estes serão classificados segundo a ordem da última proposta individual apresentada durante a fase competitiva.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15.3. Esta ordem de classificação dos licitantes registrados deverá ser respeitada nas contratações e somente será utilizada acaso o melhor colocado no certame tenha seu registro cancelado e/ou suspenso.</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300" w:before="0" w:after="0"/>
        <w:ind w:left="0" w:right="0" w:hanging="0"/>
        <w:jc w:val="both"/>
        <w:rPr/>
      </w:pPr>
      <w:r>
        <w:rPr>
          <w:rFonts w:eastAsia="Times New Roman" w:cs="Arial" w:ascii="Arial" w:hAnsi="Arial"/>
          <w:color w:val="000000"/>
          <w:kern w:val="0"/>
          <w:sz w:val="21"/>
          <w:szCs w:val="21"/>
          <w:lang w:eastAsia="pt-BR"/>
        </w:rPr>
        <w:t>15.4. O Cadastro Reserva será formalizado em anexo a ata.</w:t>
      </w:r>
    </w:p>
    <w:p>
      <w:pPr>
        <w:pStyle w:val="Normal"/>
        <w:widowControl/>
        <w:suppressAutoHyphens w:val="false"/>
        <w:spacing w:lineRule="auto" w:line="300"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true"/>
        <w:bidi w:val="0"/>
        <w:spacing w:lineRule="auto" w:line="300" w:before="0" w:after="0"/>
        <w:ind w:left="0" w:right="0" w:hanging="0"/>
        <w:jc w:val="both"/>
        <w:rPr/>
      </w:pPr>
      <w:r>
        <w:rPr>
          <w:rFonts w:eastAsia="Times New Roman" w:cs="Arial" w:ascii="Arial" w:hAnsi="Arial"/>
          <w:b w:val="false"/>
          <w:bCs w:val="false"/>
          <w:color w:val="000000"/>
          <w:kern w:val="0"/>
          <w:sz w:val="21"/>
          <w:szCs w:val="21"/>
          <w:lang w:eastAsia="pt-BR"/>
        </w:rPr>
        <w:t xml:space="preserve">15.5. Havendo a necessidade de formalização de nova Ata com algum dos fornecedores constantes no cadastro reserva, este será convocado para no prazo de 2 (dois) dias úteis apresentar sua documentação de habilitação, em conformidade com o edital.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w:t>
      </w:r>
      <w:r>
        <w:rPr>
          <w:rFonts w:eastAsia="Calibri" w:ascii="Arial" w:hAnsi="Arial" w:eastAsiaTheme="minorHAnsi"/>
          <w:sz w:val="21"/>
          <w:szCs w:val="21"/>
          <w:shd w:fill="auto" w:val="clear"/>
        </w:rPr>
        <w:t>.1. Dos atos da Administração praticados neste certame cabem:</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a.1) julgamento das propostas;</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a.2) ato de habilitação ou inabilitação de licitante;</w:t>
      </w:r>
    </w:p>
    <w:p>
      <w:pPr>
        <w:pStyle w:val="Normal"/>
        <w:widowControl/>
        <w:suppressAutoHyphens w:val="true"/>
        <w:bidi w:val="0"/>
        <w:spacing w:lineRule="auto" w:line="300" w:before="0" w:after="0"/>
        <w:ind w:left="0" w:right="0" w:hanging="0"/>
        <w:jc w:val="both"/>
        <w:rPr>
          <w:highlight w:val="none"/>
          <w:shd w:fill="auto" w:val="clear"/>
        </w:rPr>
      </w:pPr>
      <w:r>
        <w:rPr>
          <w:rFonts w:eastAsia="Calibri" w:ascii="Arial" w:hAnsi="Arial" w:eastAsiaTheme="minorHAnsi"/>
          <w:sz w:val="21"/>
          <w:szCs w:val="21"/>
          <w:shd w:fill="auto" w:val="clea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rPr>
      </w:pPr>
      <w:r>
        <w:rPr>
          <w:rFonts w:ascii="Arial" w:hAnsi="Arial"/>
          <w:sz w:val="21"/>
          <w:szCs w:val="21"/>
          <w:shd w:fill="auto"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auto" w:val="clear"/>
        </w:rPr>
        <w:tab/>
        <w:t>b) pedido de reconsideração, no p</w:t>
      </w:r>
      <w:r>
        <w:rPr>
          <w:rFonts w:eastAsia="Calibri" w:ascii="Arial" w:hAnsi="Arial" w:eastAsiaTheme="minorHAnsi"/>
          <w:sz w:val="21"/>
          <w:szCs w:val="21"/>
          <w:shd w:fill="FFFFFF" w:val="clea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O recurso de que trata a alínea “a”, do item 16.1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 xml:space="preserve">16.1.5. O recurso ou Pedido de Reconsideração deverá ser interposto por intermédio de meio eletrônico, exclusivamente, através da PLATAFORMA ELETRÔNICA: www.portaldecompraspublicas.com.br “Acesso Identificado”, sendo aceito até às 23:59h da data limite estipulada pelo pregoeiro(a). </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Pregoeiro(a)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16.8.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17. DAS ALTERAÇÕES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rFonts w:ascii="Arial" w:hAnsi="Arial"/>
          <w:sz w:val="21"/>
          <w:szCs w:val="21"/>
        </w:rPr>
      </w:pPr>
      <w:r>
        <w:rPr>
          <w:rFonts w:ascii="Arial" w:hAnsi="Arial"/>
          <w:sz w:val="21"/>
          <w:szCs w:val="21"/>
        </w:rPr>
        <w:t>17.1. A Ata de Registro de Preços poderá sofrer alterações, obedecidas às disposições contidas no Decreto Municipal nº 4.072/2024 ou outro que vier a substituir.</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17.1.1. O preço registrado poderá ser revisto em decorrência de eventual redução daqueles praticados no mercado, ou de fato que eleve o custo dos serviços ou bens registrados, cabendo ao Órgão Gerenciador da Ata de Registro de Preços promover as necessárias negociações junto aos fornecedores.</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17.1.2. Quando o preço inicialmente registrado, por motivo superveniente, tornar-se superior ao preço praticado no mercado o Órgão Gerenciador deverá: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convocar o fornecedor visando a negociação para redução de preços e sua adequação ao praticado pelo mercado;</w:t>
      </w:r>
    </w:p>
    <w:p>
      <w:pPr>
        <w:pStyle w:val="Normal"/>
        <w:spacing w:lineRule="auto" w:line="276" w:before="0" w:after="0"/>
        <w:ind w:left="0" w:right="0" w:hanging="0"/>
        <w:jc w:val="both"/>
        <w:rPr>
          <w:rFonts w:ascii="Arial" w:hAnsi="Arial"/>
          <w:sz w:val="21"/>
          <w:szCs w:val="21"/>
        </w:rPr>
      </w:pPr>
      <w:r>
        <w:rPr>
          <w:rFonts w:ascii="Arial" w:hAnsi="Arial"/>
          <w:sz w:val="21"/>
          <w:szCs w:val="21"/>
        </w:rPr>
        <w:t>II – frustrada a negociação, o fornecedor será liberado do compromisso assumido sem aplicação de penalidade; e</w:t>
      </w:r>
    </w:p>
    <w:p>
      <w:pPr>
        <w:pStyle w:val="Normal"/>
        <w:spacing w:lineRule="auto" w:line="276" w:before="0" w:after="0"/>
        <w:ind w:left="0" w:right="0" w:hanging="0"/>
        <w:jc w:val="both"/>
        <w:rPr>
          <w:rFonts w:ascii="Arial" w:hAnsi="Arial"/>
          <w:sz w:val="21"/>
          <w:szCs w:val="21"/>
        </w:rPr>
      </w:pPr>
      <w:r>
        <w:rPr>
          <w:rFonts w:ascii="Arial" w:hAnsi="Arial"/>
          <w:sz w:val="21"/>
          <w:szCs w:val="21"/>
        </w:rPr>
        <w:t>III – convocar os demais fornecedores visando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17.1.3. Quando o preço de mercado se tornar superior aos preços registrados e o fornecedor, mediante requerimento devidamente comprovado, não puder cumprir o compromisso, o Órgão Gerenciador poderá:</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I –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0" w:after="0"/>
        <w:ind w:left="0" w:right="0" w:hanging="0"/>
        <w:jc w:val="both"/>
        <w:rPr>
          <w:rFonts w:ascii="Arial" w:hAnsi="Arial"/>
          <w:sz w:val="21"/>
          <w:szCs w:val="21"/>
        </w:rPr>
      </w:pPr>
      <w:r>
        <w:rPr>
          <w:rFonts w:ascii="Arial" w:hAnsi="Arial"/>
          <w:sz w:val="21"/>
          <w:szCs w:val="21"/>
        </w:rPr>
        <w:t>II – convocar os demais fornecedores para assegurar igual oportunidade de negociação.</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17.1.4. Não havendo êxito nas negociações, o Órgão Gerenciador deverá proceder à revogação da Ata de Registro de Preços, adotando as medidas cabíveis para obtenção da contratação mais vantajosa.</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sz w:val="21"/>
          <w:szCs w:val="21"/>
        </w:rPr>
      </w:pPr>
      <w:r>
        <w:rPr>
          <w:rFonts w:ascii="Arial" w:hAnsi="Arial"/>
          <w:sz w:val="21"/>
          <w:szCs w:val="21"/>
        </w:rPr>
        <w:t xml:space="preserve">17.2. É possível realizar aumento nos quantitativos fixados pela ata de registro de preços, até uma vez a quantidade registrada inicialmente, desde que com aceitação expressa do fornecedor, formalizada mediante apostilamento, quando caracterizadas circunstâncias supervenientes, devidamente demonstradas nos autos do procedimento administrativo em que tramitar a alteração, que indiquem que as estimativas inicialmente previstas </w:t>
      </w:r>
      <w:r>
        <w:rPr>
          <w:rFonts w:ascii="Arial" w:hAnsi="Arial"/>
          <w:sz w:val="21"/>
          <w:szCs w:val="21"/>
          <w:shd w:fill="FFFFFF" w:val="clear"/>
        </w:rPr>
        <w:t>neste edital serão insuficientes para atender a demanda durante o prazo de vigência.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17.3. O Contrato, caso seja celebrado, poderá sofrer alterações, obedecidas às disposições contidas no art. 124 e seguintes da Lei Federal nº. 14.133/21.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 O pagamento pelos serviços prestados, objeto da presente licitação, será feito em favor do(s) licitante(s) vencedor(es), mediante boleto bancário ou transferência bancária em conta corrente de titularidade do Fornecedor, cujos dados devem ser idênticos ao da sua proposta.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 xml:space="preserve">19.1.1. </w:t>
      </w:r>
      <w:r>
        <w:rPr>
          <w:rFonts w:eastAsia="Calibri" w:ascii="Arial" w:hAnsi="Arial" w:eastAsiaTheme="minorHAnsi"/>
          <w:sz w:val="21"/>
          <w:szCs w:val="21"/>
          <w:shd w:fill="FFFFFF" w:val="clear"/>
        </w:rPr>
        <w:t>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19.1.2. O Município de Lindóia do Sul efetuará o pagamento em até 30 (trinta) dias úteis, após a confirmação da prestação regular das atividades descritas no objeto desta licitação, acompanhado da respectiva Nota Fiscal Eletrônica e arquivo XML e atestada por servidor responsável.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19.1.3.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19.2. Será pago a contratada somente o valor das mercadorias/serviços efetivamente entregues/executados de acordo com objeto do Edital, conforme relatório (caso necessário), após aprovação/aceite do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20. DAS ENTREGAS E EXECUÇÃO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 xml:space="preserve">20.1. </w:t>
      </w:r>
      <w:r>
        <w:rPr>
          <w:rFonts w:cs="Arial" w:ascii="Arial" w:hAnsi="Arial"/>
          <w:bCs/>
          <w:color w:val="000000"/>
          <w:sz w:val="21"/>
          <w:szCs w:val="21"/>
        </w:rPr>
        <w:t>Os itens contratados deverão ser entregues no prazo máximo de 15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20.2. A contratação com os fornecedores registrados será formalizada pelo Órgão Participante por intermédio de Solicitação de fornecimento de compra.</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20.3. Os itens deverão ser entregues conforme solicitados na Diretoria de Urbanismo, localizada na Rua 29 de Julho, Centro, ou na sede da prefeitura, sito Rua Tamandaré, 98, centro, de Segunda a Sexta feira das 08:00 as 11:30 horas e das 13:30 as 17:00 horas.</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20.4. O Fornecedor deverá entregar os itens constantes da autorização no local indicado pelo órgão participante, com a respectiva Nota Fiscal Eletrônica e enviar o arquivo XML para o e-mail indicado nas Solicitações de Fornecimento.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20.5. Os recebimentos provisórios e definitivos ficarão sob a responsabilidade de cada Órgão Participante.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20.6. Todas as despesas relacionadas com as entregas em cada órgão ou entidade participante ocorrerão por conta do Fornecedor.</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20.7. Ficará sob total responsabilidade das proponentes vencedoras, realizar o transporte adequado e manter em perfeitas condições de armazenamento todos os materiais a serem entregues, garantindo a sua total eficiência e qualidade.</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20.8. Todos os custos relacionados à execução da garantia ou troca de produtos correrão por conta exclusiva do fornecedor, incluídos os custos de transporte, troca de peças/equipamentos, horas técnicas, deslocamento de pessoal.</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b/>
          <w:bCs/>
          <w:color w:val="000000"/>
          <w:sz w:val="21"/>
          <w:szCs w:val="21"/>
        </w:rPr>
        <w:t>21. DA FISCALIZAÇÃO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cs="Arial" w:ascii="Arial" w:hAnsi="Arial"/>
          <w:color w:val="000000"/>
          <w:sz w:val="21"/>
          <w:szCs w:val="21"/>
        </w:rPr>
        <w:t>21.1. 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color w:val="000000"/>
          <w:sz w:val="21"/>
          <w:szCs w:val="21"/>
        </w:rPr>
        <w:t>21.3.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22.2. A Empresa vencedora deverá declarar ao Município (ANEXO II) o domicílio eletrônico o qual será destinado ao gerenciamento da Ata de Registro de Preços/Contrato e recebimento das solicitações de fornecimento/ordens de serviços, alerta de avisos, notificações e decisões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22.7. O(a) Pregoeiro(a) e a Equipe de Apoio prestarão os esclarecimentos necessários, devendo ser enviados ao pregoeiro,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22.9. São partes integrantes deste Edital os seguintes ANEXOS: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b) ANEXO II – Modelo de Proposta de Preços e dados da proponente;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 ANEXO III – Declaração de Cumprimento Pleno aos Requisitos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d) ANEXO IV – Declaração de Ausência de Condenação;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e) ANEXO V – Declaração de Ausência de Vínculo;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f) ANEXO VI – Declaração de Microempresa ou Empresa de Pequeno Porte;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g) ANEXO VII – Declaração de Enquadramento Receita Bruta;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h)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i) ANEXO IX – Declaração Reserva de Cargos;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j) ANEXO X – Declaração de Integralidade de Custos;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k)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l) ANEXO XII –  Ata de Registro de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Lindóia do Sul (SC), </w:t>
      </w:r>
      <w:r>
        <w:rPr>
          <w:rFonts w:ascii="Arial" w:hAnsi="Arial"/>
          <w:sz w:val="21"/>
          <w:szCs w:val="21"/>
        </w:rPr>
        <w:t>09 de outubro</w:t>
      </w:r>
      <w:r>
        <w:rPr>
          <w:rFonts w:ascii="Arial" w:hAnsi="Arial"/>
          <w:sz w:val="21"/>
          <w:szCs w:val="21"/>
        </w:rPr>
        <w:t xml:space="preserve"> de 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b/>
          <w:bCs/>
          <w:sz w:val="21"/>
          <w:szCs w:val="21"/>
        </w:rPr>
        <w:t>Neudi Angelo Bertol</w:t>
      </w:r>
    </w:p>
    <w:p>
      <w:pPr>
        <w:pStyle w:val="Normal"/>
        <w:widowControl/>
        <w:suppressAutoHyphens w:val="true"/>
        <w:bidi w:val="0"/>
        <w:spacing w:lineRule="auto" w:line="300" w:before="0" w:after="0"/>
        <w:ind w:left="0" w:right="0" w:hanging="0"/>
        <w:jc w:val="both"/>
        <w:rPr/>
      </w:pPr>
      <w:r>
        <w:rPr>
          <w:rFonts w:ascii="Arial" w:hAnsi="Arial"/>
          <w:sz w:val="21"/>
          <w:szCs w:val="21"/>
        </w:rPr>
        <w:t>Prefeito Municipal</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TERMO DE REFERÊNCIA</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widowControl/>
        <w:suppressAutoHyphens w:val="true"/>
        <w:bidi w:val="0"/>
        <w:spacing w:lineRule="auto" w:line="276" w:before="0" w:after="0"/>
        <w:ind w:left="0" w:right="0" w:hanging="0"/>
        <w:jc w:val="both"/>
        <w:rPr>
          <w:rFonts w:ascii="Arial" w:hAnsi="Arial"/>
          <w:b/>
          <w:b/>
          <w:bCs/>
          <w:i w:val="false"/>
          <w:i w:val="false"/>
          <w:iCs w:val="false"/>
          <w:strike w:val="false"/>
          <w:dstrike w:val="false"/>
          <w:color w:val="000000"/>
          <w:sz w:val="21"/>
          <w:szCs w:val="21"/>
          <w:u w:val="none"/>
        </w:rPr>
      </w:pPr>
      <w:r>
        <w:rPr>
          <w:rFonts w:ascii="Arial" w:hAnsi="Arial"/>
          <w:b/>
          <w:bCs/>
          <w:i w:val="false"/>
          <w:iCs w:val="false"/>
          <w:strike w:val="false"/>
          <w:dstrike w:val="false"/>
          <w:color w:val="000000"/>
          <w:sz w:val="21"/>
          <w:szCs w:val="21"/>
          <w:u w:val="none"/>
        </w:rPr>
      </w:r>
    </w:p>
    <w:p>
      <w:pPr>
        <w:pStyle w:val="Normal"/>
        <w:tabs>
          <w:tab w:val="clear" w:pos="708"/>
          <w:tab w:val="left" w:pos="2340" w:leader="none"/>
          <w:tab w:val="left" w:pos="4464" w:leader="none"/>
        </w:tabs>
        <w:spacing w:lineRule="auto" w:line="360"/>
        <w:jc w:val="center"/>
        <w:rPr>
          <w:b/>
          <w:b/>
          <w:bCs/>
          <w:sz w:val="32"/>
          <w:szCs w:val="32"/>
        </w:rPr>
      </w:pPr>
      <w:r>
        <w:rPr>
          <w:b/>
          <w:bCs/>
          <w:sz w:val="32"/>
          <w:szCs w:val="32"/>
        </w:rPr>
        <w:t>TERMO DE REFERÊNCIA</w:t>
      </w:r>
    </w:p>
    <w:p>
      <w:pPr>
        <w:pStyle w:val="Normal"/>
        <w:tabs>
          <w:tab w:val="clear" w:pos="708"/>
          <w:tab w:val="left" w:pos="2340" w:leader="none"/>
          <w:tab w:val="left" w:pos="4464" w:leader="none"/>
        </w:tabs>
        <w:spacing w:lineRule="auto" w:line="360"/>
        <w:jc w:val="center"/>
        <w:rPr>
          <w:b/>
          <w:b/>
          <w:bCs/>
          <w:sz w:val="28"/>
          <w:szCs w:val="28"/>
        </w:rPr>
      </w:pPr>
      <w:r>
        <w:rPr>
          <w:b/>
          <w:bCs/>
          <w:sz w:val="28"/>
          <w:szCs w:val="28"/>
        </w:rPr>
      </w:r>
    </w:p>
    <w:p>
      <w:pPr>
        <w:pStyle w:val="Normal"/>
        <w:tabs>
          <w:tab w:val="clear" w:pos="708"/>
          <w:tab w:val="left" w:pos="2340" w:leader="none"/>
          <w:tab w:val="left" w:pos="4464" w:leader="none"/>
        </w:tabs>
        <w:spacing w:lineRule="auto" w:line="360"/>
        <w:jc w:val="center"/>
        <w:rPr>
          <w:b/>
          <w:b/>
          <w:bCs/>
          <w:sz w:val="28"/>
          <w:szCs w:val="28"/>
        </w:rPr>
      </w:pPr>
      <w:r>
        <w:rPr>
          <w:b/>
          <w:bCs/>
          <w:sz w:val="28"/>
          <w:szCs w:val="28"/>
        </w:rPr>
      </w:r>
    </w:p>
    <w:p>
      <w:pPr>
        <w:pStyle w:val="Normal"/>
        <w:tabs>
          <w:tab w:val="clear" w:pos="708"/>
          <w:tab w:val="left" w:pos="2340" w:leader="none"/>
          <w:tab w:val="left" w:pos="4464" w:leader="none"/>
        </w:tabs>
        <w:spacing w:lineRule="auto" w:line="360"/>
        <w:jc w:val="both"/>
        <w:rPr>
          <w:b/>
          <w:b/>
          <w:bCs/>
          <w:sz w:val="24"/>
          <w:szCs w:val="24"/>
        </w:rPr>
      </w:pPr>
      <w:r>
        <w:rPr>
          <w:b/>
          <w:bCs/>
          <w:sz w:val="24"/>
          <w:szCs w:val="24"/>
        </w:rPr>
        <w:t>PARA REALIZAÇÃO DE REGISTRO DE PREÇO NA MODALIDADE PREGÃO PARA EVENTUAL CONTRATAÇÃO, COM FORNECIMENTO PARCELADO, DE MATERIAIS DE SINALIZAÇÃO VIÁRIA (VERTICAL E HORIZONTAL), TINTAS E CORRELATOS PARA USO DOS ÓRGÃOS OU ENTIDADES DO MUNICÍPIO DE LINDÓIA DO SUL.</w:t>
      </w:r>
    </w:p>
    <w:p>
      <w:pPr>
        <w:pStyle w:val="Normal"/>
        <w:rPr>
          <w:b/>
          <w:b/>
          <w:sz w:val="24"/>
          <w:szCs w:val="24"/>
        </w:rPr>
      </w:pPr>
      <w:r>
        <w:rPr>
          <w:b/>
          <w:sz w:val="24"/>
          <w:szCs w:val="24"/>
        </w:rPr>
      </w:r>
      <w:r>
        <w:br w:type="page"/>
      </w:r>
    </w:p>
    <w:p>
      <w:pPr>
        <w:pStyle w:val="ListParagraph"/>
        <w:numPr>
          <w:ilvl w:val="0"/>
          <w:numId w:val="2"/>
        </w:numPr>
        <w:tabs>
          <w:tab w:val="clear" w:pos="708"/>
          <w:tab w:val="left" w:pos="0" w:leader="none"/>
        </w:tabs>
        <w:spacing w:lineRule="auto" w:line="360" w:before="140" w:after="140"/>
        <w:contextualSpacing/>
        <w:rPr>
          <w:b/>
          <w:b/>
        </w:rPr>
      </w:pPr>
      <w:r>
        <w:rPr>
          <w:b/>
        </w:rPr>
        <w:t>DISPOSIÇÕES PRELIMINARES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Assim, o presente Termo de Referência configura-se como parte integrante da instrução do processo licitatório já iniciado para atendimento de demanda das secretarias do município por manutenção da sinalização viária (vertical e horizontal) e pinturas em geral e foi antecedido pela elaboração de Estudo Técnico Preliminar acostado aos autos deste processo licitatório, o qual concluíra pela maior vantajosidade na aquisição de materiais para sinalização viária (vertical e horizontal), tintas e correlatos para atendimento da demanda.</w:t>
      </w:r>
    </w:p>
    <w:p>
      <w:pPr>
        <w:pStyle w:val="ListParagraph"/>
        <w:numPr>
          <w:ilvl w:val="0"/>
          <w:numId w:val="2"/>
        </w:numPr>
        <w:tabs>
          <w:tab w:val="clear" w:pos="708"/>
          <w:tab w:val="left" w:pos="0" w:leader="none"/>
        </w:tabs>
        <w:spacing w:lineRule="auto" w:line="360" w:before="140" w:after="140"/>
        <w:contextualSpacing/>
        <w:rPr>
          <w:b/>
          <w:b/>
        </w:rPr>
      </w:pPr>
      <w:r>
        <w:rPr>
          <w:b/>
        </w:rPr>
        <w:t>FUNDAMENTAÇÃO DA CONTRATAÇÃO</w:t>
      </w:r>
    </w:p>
    <w:p>
      <w:pPr>
        <w:pStyle w:val="Normal"/>
        <w:spacing w:lineRule="auto" w:line="360" w:before="140" w:after="140"/>
        <w:ind w:firstLine="709"/>
        <w:jc w:val="both"/>
        <w:rPr>
          <w:rFonts w:ascii="Arial" w:hAnsi="Arial"/>
          <w:sz w:val="21"/>
          <w:szCs w:val="21"/>
        </w:rPr>
      </w:pPr>
      <w:r>
        <w:rPr>
          <w:rFonts w:ascii="Arial" w:hAnsi="Arial"/>
          <w:color w:val="000000"/>
          <w:sz w:val="21"/>
          <w:szCs w:val="21"/>
        </w:rPr>
        <w:t>Tratando-se de demandas comuns e recorrentes a diversos órgãos e entidades do município.</w:t>
      </w:r>
    </w:p>
    <w:p>
      <w:pPr>
        <w:pStyle w:val="Normal"/>
        <w:spacing w:lineRule="auto" w:line="360" w:before="140" w:after="140"/>
        <w:ind w:firstLine="709"/>
        <w:jc w:val="both"/>
        <w:rPr>
          <w:rFonts w:ascii="Arial" w:hAnsi="Arial"/>
          <w:sz w:val="21"/>
          <w:szCs w:val="21"/>
        </w:rPr>
      </w:pPr>
      <w:r>
        <w:rPr>
          <w:rFonts w:ascii="Arial" w:hAnsi="Arial"/>
          <w:color w:val="000000"/>
          <w:sz w:val="21"/>
          <w:szCs w:val="21"/>
        </w:rPr>
        <w:t>Apesar de estar presente no corpo do Estudo Técnico Preliminar elaborado previamente a este Termo de Referência, cumpre expor a demanda que originou a realização deste processo licitatório.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 xml:space="preserve">Dessa maneira, considerando tratar-se não apenas de um processo licitatório individual, mas que atende os órgãos e entidades do município, a necessidade de sua realização </w:t>
      </w:r>
      <w:r>
        <w:rPr>
          <w:rFonts w:ascii="Arial" w:hAnsi="Arial"/>
          <w:bCs/>
          <w:sz w:val="21"/>
          <w:szCs w:val="21"/>
        </w:rPr>
        <w:t xml:space="preserve">decorre da demanda histórica apresentada pelas secretarias do município e verificável pelos quantitativos dos editais de Processo Administrativo nº 37/2022 Pregão Eletrônico nº 14/2022 para possível aquisição de placas, lixeiras, alambrados, tubos, pedestais, tintas e afins para pintura mecanizada (material e serviço) de eixo, lombadas e faixas de pedestres que serão utilizados em diversas ruas da cidade </w:t>
      </w:r>
    </w:p>
    <w:p>
      <w:pPr>
        <w:pStyle w:val="Normal"/>
        <w:tabs>
          <w:tab w:val="clear" w:pos="708"/>
          <w:tab w:val="left" w:pos="2340" w:leader="none"/>
          <w:tab w:val="left" w:pos="4464" w:leader="none"/>
        </w:tabs>
        <w:spacing w:lineRule="auto" w:line="360" w:before="142" w:after="142"/>
        <w:ind w:firstLine="709"/>
        <w:jc w:val="both"/>
        <w:rPr>
          <w:bCs/>
        </w:rPr>
      </w:pPr>
      <w:r>
        <w:rPr>
          <w:rFonts w:ascii="Arial" w:hAnsi="Arial"/>
          <w:bCs/>
          <w:sz w:val="21"/>
          <w:szCs w:val="21"/>
        </w:rPr>
        <w:t>Trata-se de procedimento instaurado visando suprir as necessidades da Secretaria Municipal de Infraestrutura através da Diretoria de Urbanismo, no que concerne ao propósito</w:t>
      </w:r>
      <w:r>
        <w:rPr>
          <w:bCs/>
        </w:rPr>
        <w:t xml:space="preserve"> de promover melhorias nas atividades voltadas a execução dos serviços de manutenção e sinalização das vias públicas.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 xml:space="preserve">A necessidade de aquisição de materiais de sinalização horizontal e vertical viária, como tintas de demarcação e placas de sinalização, é crucial para garantir a segurança e a organização e eficiência do trânsito em diversas situações. Esses materiais desempenham um papel fundamental na prevenção de acidentes, na orientação de motoristas e pedestres, e na eficiente gestão do tráfego em diferentes cenários. </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A principal motivação para a aquisição desses materiais é promover a segurança viária. Essas são ferramentas essenciais para sinalização das vias, contribuindo para a redução de riscos de acidentes, organizar o fluxo de veículos, contribuindo assim para a preservação de vidas e a danos materiais.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Ressalta-se, que a sinalização viária segue padrões legais, elencados no Código de Trânsito Brasileiro, portanto, é imprescindível para orientação adequada dos munícipes, bem como organização do fluxo de veículos e pedestres que trafegam diariamente, promovendo assim, segurança e eficiência no trânsito.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Isto posto, resta evidente o relevante interesse público no que tange a aquisição pretendida, haja vista que placas de sinalização viária, sendo de advertência, indicação, marcadores de alinhamento e etc, assim como, materiais para a execução de serviços de manutenção das vias públicas, são essenciais para a continuidade das atividades rotineiramente desempenhadas pela equipe da Secretaria demandante.</w:t>
      </w:r>
    </w:p>
    <w:p>
      <w:pPr>
        <w:pStyle w:val="Normal"/>
        <w:tabs>
          <w:tab w:val="clear" w:pos="708"/>
          <w:tab w:val="left" w:pos="2340" w:leader="none"/>
          <w:tab w:val="left" w:pos="4464" w:leader="none"/>
        </w:tabs>
        <w:spacing w:lineRule="auto" w:line="360" w:before="142" w:after="142"/>
        <w:ind w:firstLine="709"/>
        <w:jc w:val="both"/>
        <w:rPr>
          <w:rFonts w:ascii="Arial" w:hAnsi="Arial"/>
        </w:rPr>
      </w:pPr>
      <w:r>
        <w:rPr>
          <w:rFonts w:ascii="Arial" w:hAnsi="Arial"/>
        </w:rPr>
        <w:t>Ante o exposto, a aquisição pretendida é imprescindível para manutenção e sinalização das vias públicas. Haja vista, o compromisso da Administração Pública Municipal de fornecer suporte e condições necessárias para o bom desenvolvimento dos trabalhos e atividades desenvolvidas pela Diretoria de Urbanismo, visando proporcionar melhoria na segurança, qualidade de vida e entre outros benefícios para a população.</w:t>
      </w:r>
    </w:p>
    <w:p>
      <w:pPr>
        <w:pStyle w:val="Normal"/>
        <w:tabs>
          <w:tab w:val="clear" w:pos="708"/>
          <w:tab w:val="left" w:pos="2340" w:leader="none"/>
          <w:tab w:val="left" w:pos="4464" w:leader="none"/>
        </w:tabs>
        <w:spacing w:lineRule="auto" w:line="360" w:before="142" w:after="142"/>
        <w:ind w:firstLine="709"/>
        <w:jc w:val="both"/>
        <w:rPr/>
      </w:pPr>
      <w:r>
        <w:rPr>
          <w:rFonts w:ascii="Arial" w:hAnsi="Arial"/>
        </w:rPr>
        <w:t>O Município possui uma estrutura de imóveis para atendimento dos serviços que presta a comunidade, ampla e própria. A contratação de tintas e materiais para pintura visa manter as instalações físicas em perfeito estado de conservação proporcionando melhor asseio ao ambiente de trabalho, consequentemente o conforto dos munícipes que buscam os serviços prestados. Através de pinturas regulares, as estruturas físicas das edificações se</w:t>
      </w:r>
      <w:r>
        <w:rPr/>
        <w:t xml:space="preserve"> </w:t>
      </w:r>
      <w:r>
        <w:rPr>
          <w:rFonts w:ascii="Arial" w:hAnsi="Arial"/>
          <w:sz w:val="21"/>
          <w:szCs w:val="21"/>
        </w:rPr>
        <w:t>mantêm higienizadas contribuindo efetivamente para a conservação e interesse da coletividade municipal.</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Verifica-se, portanto, que a necessidade de atendimento de manutenção da sinalização viária, horizontal e vertical, e pinturas em geral, manifesta-se na demanda por aquisição de placas, tintas e correlatos, razão pela qual as secretarias apresentaram historicamente solicitação ao município para o seu atendimento.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Por fim, conforme levantamento de mercado previamente realizado no Estudo Técnico Preliminar acostado aos autos do presente processo licitatório, concluiu-se pela maior vantajosidade da aquisição de materiais de sinalização viária (vertical e horizontal), tintas e correlatos, para atendimento da demanda exposta.</w:t>
      </w:r>
    </w:p>
    <w:p>
      <w:pPr>
        <w:pStyle w:val="CimTextoNormal"/>
        <w:numPr>
          <w:ilvl w:val="1"/>
          <w:numId w:val="2"/>
        </w:numPr>
        <w:tabs>
          <w:tab w:val="clear" w:pos="708"/>
          <w:tab w:val="left" w:pos="0" w:leader="none"/>
        </w:tabs>
        <w:spacing w:before="140" w:after="140"/>
        <w:contextualSpacing/>
        <w:rPr>
          <w:b/>
          <w:b/>
          <w:bCs/>
          <w:sz w:val="24"/>
          <w:szCs w:val="24"/>
        </w:rPr>
      </w:pPr>
      <w:r>
        <w:rPr>
          <w:b/>
          <w:bCs/>
          <w:sz w:val="24"/>
          <w:szCs w:val="24"/>
        </w:rPr>
        <w:t>PROCEDIMENTO A SER REALIZADO PARA AQUISIÇÃO DO OBJETO</w:t>
      </w:r>
    </w:p>
    <w:p>
      <w:pPr>
        <w:pStyle w:val="Normal"/>
        <w:spacing w:lineRule="auto" w:line="360" w:before="140" w:after="140"/>
        <w:ind w:firstLine="709"/>
        <w:jc w:val="both"/>
        <w:rPr>
          <w:rFonts w:ascii="Arial" w:hAnsi="Arial"/>
          <w:sz w:val="21"/>
          <w:szCs w:val="21"/>
        </w:rPr>
      </w:pPr>
      <w:r>
        <w:rPr>
          <w:rFonts w:ascii="Arial" w:hAnsi="Arial"/>
          <w:sz w:val="21"/>
          <w:szCs w:val="21"/>
        </w:rPr>
        <w:t xml:space="preserve">A partir da definição de que a aquisição do objeto supracitado realiza o atendimento da demanda exposta, cumpre retomar as conclusões já realizadas no ETP sobre o modo pelo qual o município irá </w:t>
      </w:r>
      <w:r>
        <w:rPr>
          <w:rFonts w:ascii="Arial" w:hAnsi="Arial"/>
          <w:color w:val="000000"/>
          <w:sz w:val="21"/>
          <w:szCs w:val="21"/>
        </w:rPr>
        <w:t>disponibilizar a sua contratação aos seus órgãos ou entidades.</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De início, destaca-se que, nos termos decreto nº 4.072,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 xml:space="preserve">Descarta-se, sumariamente, 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iniciada (mas ainda não concluída) durante a elaboração deste Estudo Técnico Preliminar – a qual será acostada aos autos deste processo – a existência de ampla variedade de fornecedores para os diversos itens que constituirão o objeto deste processo licitatório, viabilizando, assim, a sua competitividade. </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 xml:space="preserve">A respeito da possibilidade de realização de credenciamento, verifica-se que o presente caso não se subsome a qualquer das situações previstas no </w:t>
      </w:r>
      <w:r>
        <w:rPr>
          <w:rFonts w:ascii="Arial" w:hAnsi="Arial"/>
          <w:i/>
          <w:iCs/>
          <w:color w:val="000000"/>
          <w:sz w:val="21"/>
          <w:szCs w:val="21"/>
        </w:rPr>
        <w:t>caput</w:t>
      </w:r>
      <w:r>
        <w:rPr>
          <w:rFonts w:ascii="Arial" w:hAnsi="Arial"/>
          <w:color w:val="000000"/>
          <w:sz w:val="21"/>
          <w:szCs w:val="21"/>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 xml:space="preserve">Assim, não se configurando hipótese de contratação direta, tampouco de credenciamento, imperioso o cumprimento do dever constitucional de realização de licitação, a qual ocorrerá na modalidade pregão, visto que, nos termos do art. 6º, inciso XLI, e do art. 29, </w:t>
      </w:r>
      <w:r>
        <w:rPr>
          <w:rFonts w:ascii="Arial" w:hAnsi="Arial"/>
          <w:i/>
          <w:iCs/>
          <w:color w:val="000000"/>
          <w:sz w:val="21"/>
          <w:szCs w:val="21"/>
        </w:rPr>
        <w:t>caput</w:t>
      </w:r>
      <w:r>
        <w:rPr>
          <w:rFonts w:ascii="Arial" w:hAnsi="Arial"/>
          <w:color w:val="000000"/>
          <w:sz w:val="21"/>
          <w:szCs w:val="21"/>
        </w:rPr>
        <w:t>, da Lei Federal n. 14.133/2021, configura-se como “modalidade de licitação obrigatória para aquisição de bens e serviços comuns” e deve ser adotado “sempre que o objeto possuir padrões de desempenho e qualidade que possam ser objetivamente definidos pelo edital, por meio de especificações usuais de mercado”, situação evidente no presente cenário em razão do objeto licitado: bem de natureza comum, podendo ser objetivamente definido no edital.</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Realizando-se a licitação pela modalidade pregão, o art. 6º, inciso XLI, da Lei Federal n. 14.133/2021 dispõe que, discricionariamente, o seu “critério de julgamento poderá ser o de menor preço ou o de maior desconto”,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 xml:space="preserve">Ocorre que, tratando-se da aquisição, por diversos órgãos e entidades do município, de uma diversidade de itens para atendimento de suas demandas internas, imediatas ou não, as quais podem variar em quantidade no decorrer do tempo, verifica-se que, para a mais adequada satisfação da demanda apresentada, em termos quantitativos e temporais, torna-se imperiosa a utilização do Sistema de Registro de Preços (SRP). </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O Sistema de Registro de Preços é definido pelo art. 6º, inciso XLV, da Lei Federal n. 14.133/2021 como o “conjunto de procedimentos para realização, mediante contratação direta ou licitação nas modalidades pregão ou concorrência, de registro formal de preços relativos à prestação de serviços, a obras e a aquisição e locação de bens para contratações futuras”. Sua principal vantagem está no fato de que a “existência de preços registrados implicará compromisso de fornecimento nas condições estabelecidas, mas não obrigará a Administração a contratar” (art. 83 da Lei Federal n. 14.133/2021). Com isso, permite-se que a administração adquira os bens conforme a manifestação da demanda durante o prazo de vigência da ata de registro de preços, resultado do processo licitatório, o qual “será de 1 (um) ano e poderá ser prorrogado, por igual período” (art. 84 da Lei Federal n. 14.133/2021), garantindo o fornecimento contínuo de bens para atendimento da demanda, presente e futura, das secretarias municipais.</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No âmbito de atuação do município, o Sistema de Registro de Preços encontra-se regulamentado pelo decreto nº 4.072.</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 xml:space="preserve">Nesse modelo licitatório, existem duas etapas. A primeira, centralizada, é realizada pelo município, voltada ao planejamento, seleção do fornecedor e, tratando-se de SRP, formalização da ata de registro de preços. A segunda, descentralizada, é voltada na aquisição efetiva dos bens e serviços pelos diversos órgãos e entidades do município, denominados Órgãos Participantes, sob sua gestão e responsabilidade. </w:t>
      </w:r>
    </w:p>
    <w:p>
      <w:pPr>
        <w:pStyle w:val="Normal"/>
        <w:spacing w:lineRule="auto" w:line="360" w:before="142" w:after="142"/>
        <w:ind w:firstLine="709"/>
        <w:jc w:val="both"/>
        <w:rPr>
          <w:rFonts w:ascii="Arial" w:hAnsi="Arial"/>
          <w:sz w:val="21"/>
          <w:szCs w:val="21"/>
        </w:rPr>
      </w:pPr>
      <w:r>
        <w:rPr>
          <w:rFonts w:ascii="Arial" w:hAnsi="Arial"/>
          <w:bCs/>
          <w:color w:val="000000"/>
          <w:sz w:val="21"/>
          <w:szCs w:val="21"/>
        </w:rPr>
        <w:t>Ante o exposto, verifica-se que o procedimento licitatório mais adequado para a aquisição do objeto supracitado é a r</w:t>
      </w:r>
      <w:r>
        <w:rPr>
          <w:rFonts w:ascii="Arial" w:hAnsi="Arial"/>
          <w:bCs/>
          <w:sz w:val="21"/>
          <w:szCs w:val="21"/>
        </w:rPr>
        <w:t xml:space="preserve">ealização de licitação, na modalidade pregão, pelo critério de menor preço e auxiliada pelo sistema de registro de preços, </w:t>
      </w:r>
      <w:r>
        <w:rPr>
          <w:rFonts w:ascii="Arial" w:hAnsi="Arial"/>
          <w:bCs/>
          <w:color w:val="000000"/>
          <w:sz w:val="21"/>
          <w:szCs w:val="21"/>
        </w:rPr>
        <w:t>atuando o município como Órgão Gerenciador.</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color w:val="000000"/>
          <w:sz w:val="21"/>
          <w:szCs w:val="21"/>
        </w:rPr>
        <w:t>Tratando-se de processo licitat</w:t>
      </w:r>
      <w:r>
        <w:rPr>
          <w:rFonts w:ascii="Arial" w:hAnsi="Arial"/>
          <w:bCs/>
          <w:sz w:val="21"/>
          <w:szCs w:val="21"/>
        </w:rPr>
        <w:t>ório visando o registro de preço dos itens listados, a estimativa total de quantidades para contratação é definida através da realização do procedimento público de intenção para registro de preços (IRP), previsto no art. 86 da Lei Federal n. 14.133/2021:</w:t>
      </w:r>
    </w:p>
    <w:p>
      <w:pPr>
        <w:pStyle w:val="Normal"/>
        <w:tabs>
          <w:tab w:val="clear" w:pos="708"/>
          <w:tab w:val="left" w:pos="2340" w:leader="none"/>
          <w:tab w:val="left" w:pos="4464" w:leader="none"/>
        </w:tabs>
        <w:spacing w:lineRule="auto" w:line="240" w:before="140" w:after="140"/>
        <w:ind w:left="2268" w:hanging="0"/>
        <w:jc w:val="both"/>
        <w:rPr>
          <w:bCs/>
          <w:sz w:val="18"/>
          <w:szCs w:val="18"/>
        </w:rPr>
      </w:pPr>
      <w:r>
        <w:rPr>
          <w:bCs/>
          <w:sz w:val="18"/>
          <w:szCs w:val="18"/>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pPr>
        <w:pStyle w:val="Normal"/>
        <w:spacing w:lineRule="auto" w:line="360" w:before="140" w:after="140"/>
        <w:ind w:firstLine="709"/>
        <w:jc w:val="both"/>
        <w:rPr>
          <w:rFonts w:ascii="Arial" w:hAnsi="Arial"/>
          <w:sz w:val="21"/>
          <w:szCs w:val="21"/>
        </w:rPr>
      </w:pPr>
      <w:r>
        <w:rPr>
          <w:rFonts w:ascii="Arial" w:hAnsi="Arial"/>
          <w:bCs/>
          <w:sz w:val="21"/>
          <w:szCs w:val="21"/>
        </w:rPr>
        <w:t>Destaca-se que este procedimento se encontra regulamentado no âmbito do município pelo Decreto nº 4.072, cito o Art. 118, §1º:</w:t>
      </w:r>
    </w:p>
    <w:p>
      <w:pPr>
        <w:pStyle w:val="Normal"/>
        <w:widowControl w:val="false"/>
        <w:spacing w:lineRule="auto" w:line="240" w:before="140" w:after="140"/>
        <w:ind w:left="2268" w:hanging="0"/>
        <w:jc w:val="both"/>
        <w:rPr>
          <w:bCs/>
          <w:sz w:val="18"/>
          <w:szCs w:val="18"/>
        </w:rPr>
      </w:pPr>
      <w:r>
        <w:rPr>
          <w:bCs/>
          <w:sz w:val="18"/>
          <w:szCs w:val="18"/>
        </w:rPr>
        <w:t>§ 1º O procedimento público de intenção de registro de preços poderá ser dispensa, de forma justificada pelo Órgão Gerenciador, quando for o único contratante ou de interesse restrito a órgãos ou entidades específicas da Administração.</w:t>
      </w:r>
    </w:p>
    <w:p>
      <w:pPr>
        <w:pStyle w:val="Normal"/>
        <w:widowControl w:val="false"/>
        <w:spacing w:lineRule="auto" w:line="360" w:before="140" w:after="140"/>
        <w:jc w:val="both"/>
        <w:rPr/>
      </w:pPr>
      <w:r>
        <w:rPr>
          <w:bCs/>
        </w:rPr>
        <w:tab/>
      </w:r>
      <w:r>
        <w:rPr>
          <w:rFonts w:ascii="Arial" w:hAnsi="Arial"/>
          <w:bCs/>
          <w:sz w:val="21"/>
          <w:szCs w:val="21"/>
        </w:rPr>
        <w:t>No caso desta municipalidade, optou-se pela não divulgação da presente IRP em virtude da ausência de estrutura administrativa satisfatória para fins de gerenciamento das Atas de Registro de Preços, bem como pela necessidade de realização e conclusão célere deste procedimento licitatório, o que não seria possível caso houvesse a divulgação da IRP, a qual poderia culminar na participação de outros órgãos da administração pública, levando o município a qualidade de órgão gerenciador.</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Tratando-se de processo licitatório visando o registro de preço dos itens listados, a estimativa total de quantidades para contratação foi definida através da demanda do município. Dessa forma que se encontra plenamente confirmada pelos próprios órgãos a necessidade de contratação apresentada, cujos quantitativos encontram-se discriminados nas páginas seguintes.</w:t>
      </w:r>
    </w:p>
    <w:p>
      <w:pPr>
        <w:pStyle w:val="ListParagraph"/>
        <w:numPr>
          <w:ilvl w:val="1"/>
          <w:numId w:val="2"/>
        </w:numPr>
        <w:tabs>
          <w:tab w:val="clear" w:pos="708"/>
          <w:tab w:val="left" w:pos="0" w:leader="none"/>
          <w:tab w:val="left" w:pos="2340" w:leader="none"/>
          <w:tab w:val="left" w:pos="4464" w:leader="none"/>
        </w:tabs>
        <w:spacing w:lineRule="auto" w:line="360" w:before="140" w:after="140"/>
        <w:contextualSpacing/>
        <w:jc w:val="both"/>
        <w:rPr>
          <w:b/>
          <w:b/>
        </w:rPr>
      </w:pPr>
      <w:r>
        <w:rPr>
          <w:b/>
        </w:rPr>
        <w:t xml:space="preserve">PROVIDÊNCIAS A SEREM ADOTADAS PELA ADMINISTRAÇÃO E CONTRATAÇÕES CORRELATAS E/OU INTERDEPENDENTES  </w:t>
      </w:r>
    </w:p>
    <w:p>
      <w:pPr>
        <w:pStyle w:val="Normal"/>
        <w:spacing w:lineRule="auto" w:line="360" w:before="142" w:after="142"/>
        <w:ind w:firstLine="709"/>
        <w:jc w:val="both"/>
        <w:rPr>
          <w:rFonts w:ascii="Arial" w:hAnsi="Arial"/>
          <w:sz w:val="21"/>
          <w:szCs w:val="21"/>
        </w:rPr>
      </w:pPr>
      <w:r>
        <w:rPr>
          <w:rFonts w:ascii="Arial" w:hAnsi="Arial"/>
          <w:bCs/>
          <w:sz w:val="21"/>
          <w:szCs w:val="21"/>
        </w:rPr>
        <w:t>Ressalta-se que, como em qualquer contratação decorrente desta licitação, cabe ao órgão ou entidade do município realização de algumas providências. Previamente à celebração do contrato para aquisição do material licitado, deverá realizar o seu levantamento de mercado para, considerando sua realidade social e orçamentária, definir quais dos itens licitados serão solicitados e quais providências e contratações deverão ser por si realizadas para o pleno atendimento de sua demanda específica. Ademais, para a sua execução, deverá realizar, se necessário, a capacitação de servidores ou de empregados públicos para fiscalização e gestão contratual.</w:t>
      </w:r>
    </w:p>
    <w:p>
      <w:pPr>
        <w:pStyle w:val="Normal"/>
        <w:spacing w:lineRule="auto" w:line="360" w:before="142" w:after="142"/>
        <w:jc w:val="both"/>
        <w:rPr>
          <w:rFonts w:ascii="Arial" w:hAnsi="Arial"/>
          <w:sz w:val="21"/>
          <w:szCs w:val="21"/>
        </w:rPr>
      </w:pPr>
      <w:r>
        <w:rPr>
          <w:rFonts w:eastAsia="Times New Roman" w:ascii="Arial" w:hAnsi="Arial"/>
          <w:bCs/>
          <w:color w:val="000000"/>
          <w:sz w:val="21"/>
          <w:szCs w:val="21"/>
          <w:lang w:eastAsia="pt-BR"/>
        </w:rPr>
        <w:tab/>
        <w:t>Ademais, para que a pretendida contratação tenha sucesso, é preciso que outras etapas sejam concluídas, quais sejam:</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a) elaboração de minuta do edital;</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b) designação de agente de contratação/pregoeiro, equipe de apoio, comissão de licitação;</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c) elaboração de minuta da Ata de Registro de Preço;</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d) encaminhamento do processo para análise jurídica;</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e) análise da manifestação jurídica e atendimento aos apontamentos constantes no parecer;</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f) publicação e divulgação do edital e anexos;</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g) resposta a eventuais pedidos de esclarecimentos e/ou impugnação, caso aplicável;</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h) realização do certame, com suas respectivas etapas;</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i) assinatura e publicação das Atas de Registro de Preços; e</w:t>
      </w:r>
    </w:p>
    <w:p>
      <w:pPr>
        <w:pStyle w:val="Normal"/>
        <w:spacing w:lineRule="auto" w:line="360" w:before="142" w:after="142"/>
        <w:ind w:left="737" w:hanging="0"/>
        <w:jc w:val="both"/>
        <w:rPr>
          <w:rFonts w:ascii="Arial" w:hAnsi="Arial"/>
          <w:sz w:val="21"/>
          <w:szCs w:val="21"/>
        </w:rPr>
      </w:pPr>
      <w:r>
        <w:rPr>
          <w:rFonts w:eastAsia="Times New Roman" w:ascii="Arial" w:hAnsi="Arial"/>
          <w:bCs/>
          <w:color w:val="000000"/>
          <w:sz w:val="21"/>
          <w:szCs w:val="21"/>
          <w:lang w:eastAsia="pt-BR"/>
        </w:rPr>
        <w:t>j) realização de empenho.</w:t>
      </w:r>
    </w:p>
    <w:p>
      <w:pPr>
        <w:pStyle w:val="Normal"/>
        <w:spacing w:lineRule="auto" w:line="360" w:before="142" w:after="142"/>
        <w:ind w:firstLine="709"/>
        <w:jc w:val="both"/>
        <w:rPr>
          <w:rFonts w:ascii="Arial" w:hAnsi="Arial"/>
          <w:sz w:val="21"/>
          <w:szCs w:val="21"/>
        </w:rPr>
      </w:pPr>
      <w:r>
        <w:rPr>
          <w:rFonts w:ascii="Arial" w:hAnsi="Arial"/>
          <w:color w:val="000000"/>
          <w:sz w:val="21"/>
          <w:szCs w:val="21"/>
        </w:rPr>
        <w:t>O Estudo Técnico Preliminar não identificou a necessidade de realizar contratações correlatas e/ou interdependentes acessórias para a perfeita execução do objeto, uma vez que todos os meios necessários para a aquisição dos materiais podem ser supridos apenas com a contratação ora proposta.</w:t>
      </w:r>
    </w:p>
    <w:p>
      <w:pPr>
        <w:pStyle w:val="ListParagraph"/>
        <w:numPr>
          <w:ilvl w:val="0"/>
          <w:numId w:val="2"/>
        </w:numPr>
        <w:tabs>
          <w:tab w:val="clear" w:pos="708"/>
          <w:tab w:val="left" w:pos="0" w:leader="none"/>
        </w:tabs>
        <w:spacing w:lineRule="auto" w:line="360" w:before="140" w:after="140"/>
        <w:contextualSpacing/>
        <w:rPr>
          <w:b/>
          <w:b/>
        </w:rPr>
      </w:pPr>
      <w:r>
        <w:rPr>
          <w:b/>
        </w:rPr>
        <w:t>DEFINIÇÃO DO OBJETO</w:t>
      </w:r>
    </w:p>
    <w:p>
      <w:pPr>
        <w:pStyle w:val="ListParagraph"/>
        <w:numPr>
          <w:ilvl w:val="1"/>
          <w:numId w:val="2"/>
        </w:numPr>
        <w:tabs>
          <w:tab w:val="clear" w:pos="708"/>
          <w:tab w:val="left" w:pos="0" w:leader="none"/>
        </w:tabs>
        <w:spacing w:lineRule="auto" w:line="360" w:before="140" w:after="140"/>
        <w:contextualSpacing/>
        <w:rPr>
          <w:b/>
          <w:b/>
        </w:rPr>
      </w:pPr>
      <w:r>
        <w:rPr>
          <w:b/>
        </w:rPr>
        <w:t>OBJETO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O presente processo licitatório tem como finalidade a realização de pregão eletrônico, o qual possui como objeto o REGISTRO DE PREÇOS para eventual contratação, com fornecimento parcelado, de materiais de sinalização viária (vertical e horizontal) tintas e correlatos, para uso dos órgãos ou entidades do Município de Lindóia do Sul, na condição de Órgãos Participantes desta licitação, de acordo com os quantitativos estimados e durante o prazo de vigência da Ata de Registro de Preços.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Na definição do objeto foi considerada uma diversidade de produtos que atendem às necessidades públicas, não existindo nenhum item que possui apenas um tipo ou um modelo que atenda à demanda dos órgãos e entidades do município, consequentemente sem nenhum direcionamento para determinadas marcas ou modelos.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O texto descritivo completo e informações pertinentes de cada item a ser licitado constam nos autos do processo licitatório em que se insere o presente Termo de Referência e estarão anexas ao Edital, constituindo parte integrante dele.</w:t>
      </w:r>
    </w:p>
    <w:p>
      <w:pPr>
        <w:pStyle w:val="ListParagraph"/>
        <w:numPr>
          <w:ilvl w:val="1"/>
          <w:numId w:val="2"/>
        </w:numPr>
        <w:tabs>
          <w:tab w:val="clear" w:pos="708"/>
          <w:tab w:val="left" w:pos="0" w:leader="none"/>
        </w:tabs>
        <w:spacing w:lineRule="auto" w:line="360" w:before="140" w:after="140"/>
        <w:contextualSpacing/>
        <w:rPr>
          <w:b/>
          <w:b/>
        </w:rPr>
      </w:pPr>
      <w:r>
        <w:rPr>
          <w:b/>
        </w:rPr>
        <w:t>NATUREZA</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Os itens que constituem o objeto do presente processo licitatório são classificados como materiais de natureza comum, de fornecimento não contínuo e de qualidade comum.</w:t>
      </w:r>
    </w:p>
    <w:p>
      <w:pPr>
        <w:pStyle w:val="ListParagraph"/>
        <w:numPr>
          <w:ilvl w:val="1"/>
          <w:numId w:val="2"/>
        </w:numPr>
        <w:tabs>
          <w:tab w:val="clear" w:pos="708"/>
          <w:tab w:val="left" w:pos="0" w:leader="none"/>
        </w:tabs>
        <w:spacing w:lineRule="auto" w:line="360" w:before="140" w:after="140"/>
        <w:contextualSpacing/>
        <w:rPr>
          <w:b/>
          <w:b/>
        </w:rPr>
      </w:pPr>
      <w:r>
        <w:rPr>
          <w:b/>
        </w:rPr>
        <w:t>JUSTIFICATIVA PARA O PARCELAMENTO OU NÃO DA CONTRATAÇÃO</w:t>
      </w:r>
    </w:p>
    <w:p>
      <w:pPr>
        <w:pStyle w:val="Normal"/>
        <w:spacing w:lineRule="auto" w:line="360" w:before="142" w:after="142"/>
        <w:ind w:firstLine="709"/>
        <w:jc w:val="both"/>
        <w:rPr>
          <w:rFonts w:ascii="Arial" w:hAnsi="Arial"/>
          <w:sz w:val="21"/>
          <w:szCs w:val="21"/>
        </w:rPr>
      </w:pPr>
      <w:r>
        <w:rPr>
          <w:rFonts w:ascii="Arial" w:hAnsi="Arial"/>
          <w:bCs/>
          <w:sz w:val="21"/>
          <w:szCs w:val="21"/>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pPr>
        <w:pStyle w:val="Normal"/>
        <w:spacing w:lineRule="auto" w:line="360" w:before="142" w:after="142"/>
        <w:ind w:firstLine="709"/>
        <w:jc w:val="both"/>
        <w:rPr>
          <w:rFonts w:ascii="Arial" w:hAnsi="Arial"/>
          <w:sz w:val="21"/>
          <w:szCs w:val="21"/>
        </w:rPr>
      </w:pPr>
      <w:r>
        <w:rPr>
          <w:rFonts w:ascii="Arial" w:hAnsi="Arial"/>
          <w:bCs/>
          <w:sz w:val="21"/>
          <w:szCs w:val="21"/>
        </w:rPr>
        <w:t xml:space="preserve">Destaca-se que, conforme entendimento sumulado do Tribunal de Contas da União e manifestado na atual legislação licitatória, o parcelamento configura-se como regra, sendo uma exceção o agrupamento em lotes, dispensando maiores digressões acerca de sua adoção: </w:t>
      </w:r>
    </w:p>
    <w:p>
      <w:pPr>
        <w:pStyle w:val="Normal"/>
        <w:spacing w:lineRule="auto" w:line="240" w:before="142" w:after="142"/>
        <w:ind w:left="2268" w:hanging="0"/>
        <w:jc w:val="both"/>
        <w:rPr>
          <w:bCs/>
          <w:sz w:val="18"/>
          <w:szCs w:val="18"/>
        </w:rPr>
      </w:pPr>
      <w:r>
        <w:rPr>
          <w:bCs/>
          <w:sz w:val="18"/>
          <w:szCs w:val="18"/>
        </w:rPr>
        <w:t>Súmula TCU n. 247: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pPr>
        <w:pStyle w:val="Normal"/>
        <w:tabs>
          <w:tab w:val="clear" w:pos="708"/>
          <w:tab w:val="left" w:pos="2340" w:leader="none"/>
          <w:tab w:val="left" w:pos="4464" w:leader="none"/>
        </w:tabs>
        <w:spacing w:lineRule="auto" w:line="360" w:before="140" w:after="140"/>
        <w:jc w:val="both"/>
        <w:rPr>
          <w:rFonts w:ascii="Arial" w:hAnsi="Arial"/>
          <w:sz w:val="21"/>
          <w:szCs w:val="21"/>
        </w:rPr>
      </w:pPr>
      <w:r>
        <w:rPr>
          <w:rFonts w:ascii="Arial" w:hAnsi="Arial"/>
          <w:bCs/>
          <w:sz w:val="21"/>
          <w:szCs w:val="21"/>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pPr>
        <w:pStyle w:val="ListParagraph"/>
        <w:numPr>
          <w:ilvl w:val="1"/>
          <w:numId w:val="2"/>
        </w:numPr>
        <w:tabs>
          <w:tab w:val="clear" w:pos="708"/>
          <w:tab w:val="left" w:pos="0" w:leader="none"/>
        </w:tabs>
        <w:spacing w:lineRule="auto" w:line="360" w:before="140" w:after="140"/>
        <w:contextualSpacing/>
        <w:rPr>
          <w:b/>
          <w:b/>
        </w:rPr>
      </w:pPr>
      <w:r>
        <w:rPr>
          <w:b/>
        </w:rPr>
        <w:t>QUANTITATIVOS</w:t>
      </w:r>
    </w:p>
    <w:p>
      <w:pPr>
        <w:pStyle w:val="Normal"/>
        <w:tabs>
          <w:tab w:val="clear" w:pos="708"/>
          <w:tab w:val="left" w:pos="2340" w:leader="none"/>
          <w:tab w:val="left" w:pos="4464" w:leader="none"/>
        </w:tabs>
        <w:spacing w:lineRule="auto" w:line="360" w:before="142" w:after="142"/>
        <w:ind w:firstLine="709"/>
        <w:jc w:val="both"/>
        <w:rPr/>
      </w:pPr>
      <w:r>
        <w:rPr/>
        <w:t>Considerando a justificativa exposta no item 2.1 do presente Termo de Referência quanto a não realização de Intenção de Registro de Preço (IRP), e t</w:t>
      </w:r>
      <w:r>
        <w:rPr>
          <w:bCs/>
        </w:rPr>
        <w:t xml:space="preserve">ratando-se de demanda apresentada pelas secretarias, considerando a grande variabilidade da necessidade de cada órgãos e entidades, </w:t>
      </w:r>
      <w:r>
        <w:rPr>
          <w:rFonts w:eastAsia="Times New Roman"/>
          <w:bCs/>
          <w:color w:val="000000"/>
          <w:lang w:eastAsia="pt-BR"/>
        </w:rPr>
        <w:t>foram analisados os históricos dos quantitativos de contratações anteriores deste Órgão e a quantidade necessária de imediato, bem como fora ponderado a possibilidade de uma margem prudente de aumento de quantitativo em razão de novas demandas. Assim o quantitativo necessário encontra-se</w:t>
      </w:r>
      <w:r>
        <w:rPr/>
        <w:t xml:space="preserve"> exposto na tabela abaixo:</w:t>
      </w:r>
    </w:p>
    <w:tbl>
      <w:tblPr>
        <w:tblW w:w="9629" w:type="dxa"/>
        <w:jc w:val="left"/>
        <w:tblInd w:w="80" w:type="dxa"/>
        <w:tblLayout w:type="fixed"/>
        <w:tblCellMar>
          <w:top w:w="0" w:type="dxa"/>
          <w:left w:w="70" w:type="dxa"/>
          <w:bottom w:w="0" w:type="dxa"/>
          <w:right w:w="70" w:type="dxa"/>
        </w:tblCellMar>
      </w:tblPr>
      <w:tblGrid>
        <w:gridCol w:w="688"/>
        <w:gridCol w:w="578"/>
        <w:gridCol w:w="992"/>
        <w:gridCol w:w="6234"/>
        <w:gridCol w:w="1137"/>
      </w:tblGrid>
      <w:tr>
        <w:trPr>
          <w:tblHeader w:val="true"/>
          <w:trHeight w:val="567" w:hRule="atLeast"/>
        </w:trPr>
        <w:tc>
          <w:tcPr>
            <w:tcW w:w="688"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ITEM</w:t>
            </w:r>
          </w:p>
        </w:tc>
        <w:tc>
          <w:tcPr>
            <w:tcW w:w="578"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QTD</w:t>
            </w:r>
          </w:p>
        </w:tc>
        <w:tc>
          <w:tcPr>
            <w:tcW w:w="992"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UNIDADE</w:t>
            </w:r>
          </w:p>
        </w:tc>
        <w:tc>
          <w:tcPr>
            <w:tcW w:w="6234"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DESCRIÇÃO</w:t>
            </w:r>
          </w:p>
        </w:tc>
        <w:tc>
          <w:tcPr>
            <w:tcW w:w="1137" w:type="dxa"/>
            <w:tcBorders>
              <w:top w:val="single" w:sz="8" w:space="0" w:color="000000"/>
              <w:bottom w:val="single" w:sz="8" w:space="0" w:color="000000"/>
              <w:right w:val="single" w:sz="8" w:space="0" w:color="000000"/>
            </w:tcBorders>
            <w:shd w:fill="969696" w:val="clear"/>
          </w:tcPr>
          <w:p>
            <w:pPr>
              <w:pStyle w:val="Normal"/>
              <w:widowControl w:val="false"/>
              <w:spacing w:lineRule="auto" w:line="240" w:before="0" w:after="160"/>
              <w:jc w:val="center"/>
              <w:rPr>
                <w:rFonts w:eastAsia="Times New Roman"/>
                <w:b/>
                <w:b/>
                <w:bCs/>
                <w:color w:val="000000"/>
                <w:sz w:val="18"/>
                <w:szCs w:val="18"/>
                <w:lang w:eastAsia="pt-BR"/>
              </w:rPr>
            </w:pPr>
            <w:r>
              <w:rPr>
                <w:rFonts w:eastAsia="Times New Roman"/>
                <w:b/>
                <w:bCs/>
                <w:color w:val="000000"/>
                <w:sz w:val="18"/>
                <w:szCs w:val="18"/>
                <w:lang w:eastAsia="pt-BR"/>
              </w:rPr>
              <w:t>Divisão</w:t>
            </w:r>
          </w:p>
        </w:tc>
      </w:tr>
      <w:tr>
        <w:trPr>
          <w:trHeight w:val="567" w:hRule="atLeast"/>
        </w:trPr>
        <w:tc>
          <w:tcPr>
            <w:tcW w:w="688"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w:t>
            </w:r>
          </w:p>
        </w:tc>
        <w:tc>
          <w:tcPr>
            <w:tcW w:w="578" w:type="dxa"/>
            <w:tcBorders>
              <w:bottom w:val="single" w:sz="8" w:space="0" w:color="000000"/>
              <w:right w:val="single" w:sz="8" w:space="0" w:color="000000"/>
            </w:tcBorders>
          </w:tcPr>
          <w:p>
            <w:pPr>
              <w:pStyle w:val="Normal"/>
              <w:widowControl w:val="false"/>
              <w:spacing w:lineRule="auto" w:line="240" w:before="0" w:after="160"/>
              <w:jc w:val="center"/>
              <w:rPr/>
            </w:pPr>
            <w:r>
              <w:rPr/>
              <w:t>150</w:t>
            </w:r>
          </w:p>
        </w:tc>
        <w:tc>
          <w:tcPr>
            <w:tcW w:w="992" w:type="dxa"/>
            <w:tcBorders>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bottom w:val="single" w:sz="8" w:space="0" w:color="000000"/>
              <w:right w:val="single" w:sz="8" w:space="0" w:color="000000"/>
            </w:tcBorders>
          </w:tcPr>
          <w:p>
            <w:pPr>
              <w:pStyle w:val="Normal"/>
              <w:widowControl w:val="false"/>
              <w:spacing w:lineRule="auto" w:line="240" w:before="0" w:after="160"/>
              <w:jc w:val="both"/>
              <w:rPr/>
            </w:pPr>
            <w:r>
              <w:rPr/>
              <w:t>Tinta para demarcação viária, base de solvente de acordo com a norma abnt nbr 11862, na cor amarelo. Embalagem de no mínimo 18 litros.</w:t>
            </w:r>
          </w:p>
        </w:tc>
        <w:tc>
          <w:tcPr>
            <w:tcW w:w="1137" w:type="dxa"/>
            <w:tcBorders>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w:t>
            </w:r>
          </w:p>
        </w:tc>
        <w:tc>
          <w:tcPr>
            <w:tcW w:w="578" w:type="dxa"/>
            <w:tcBorders>
              <w:bottom w:val="single" w:sz="8" w:space="0" w:color="000000"/>
              <w:right w:val="single" w:sz="8" w:space="0" w:color="000000"/>
            </w:tcBorders>
          </w:tcPr>
          <w:p>
            <w:pPr>
              <w:pStyle w:val="Normal"/>
              <w:widowControl w:val="false"/>
              <w:spacing w:lineRule="auto" w:line="240" w:before="0" w:after="160"/>
              <w:jc w:val="center"/>
              <w:rPr/>
            </w:pPr>
            <w:r>
              <w:rPr/>
              <w:t>150</w:t>
            </w:r>
          </w:p>
        </w:tc>
        <w:tc>
          <w:tcPr>
            <w:tcW w:w="992" w:type="dxa"/>
            <w:tcBorders>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bottom w:val="single" w:sz="8" w:space="0" w:color="000000"/>
              <w:right w:val="single" w:sz="8" w:space="0" w:color="000000"/>
            </w:tcBorders>
          </w:tcPr>
          <w:p>
            <w:pPr>
              <w:pStyle w:val="Normal"/>
              <w:widowControl w:val="false"/>
              <w:spacing w:lineRule="auto" w:line="240" w:before="0" w:after="160"/>
              <w:jc w:val="both"/>
              <w:rPr/>
            </w:pPr>
            <w:r>
              <w:rPr/>
              <w:t>Tinta para demarcação viária, base de solvente de acordo com a norma abnt nbr 11862, na cor branco. Embalagem de no mínimo 18 litros.</w:t>
            </w:r>
          </w:p>
        </w:tc>
        <w:tc>
          <w:tcPr>
            <w:tcW w:w="1137" w:type="dxa"/>
            <w:tcBorders>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Tinta para demarcação viária, base de solvente de acordo com a norma abnt nbr 11862, na cor cinza. Embalagem de no mínimo 18 litros.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17</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premium de no mínimo 18 litros, cores claras diversas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02 polícia</w:t>
            </w:r>
          </w:p>
          <w:p>
            <w:pPr>
              <w:pStyle w:val="Normal"/>
              <w:widowControl w:val="false"/>
              <w:spacing w:lineRule="auto" w:line="240"/>
              <w:jc w:val="both"/>
              <w:rPr/>
            </w:pPr>
            <w:r>
              <w:rPr/>
              <w:t>10 saúde</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02</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premium de no mínimo 18 litros, cores escuras diversas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02 polícia</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premium de no mínimo 3,6 litros, cores claras diversas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10 saúde</w:t>
            </w:r>
          </w:p>
          <w:p>
            <w:pPr>
              <w:pStyle w:val="Normal"/>
              <w:widowControl w:val="false"/>
              <w:spacing w:lineRule="auto" w:line="240" w:before="0" w:after="160"/>
              <w:jc w:val="both"/>
              <w:rPr/>
            </w:pPr>
            <w:r>
              <w:rPr/>
              <w:t>15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24</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esmalte sintético de no mínimo 3,6 litros cores diversas conforme catálogo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15 Polícia</w:t>
            </w:r>
          </w:p>
          <w:p>
            <w:pPr>
              <w:pStyle w:val="Normal"/>
              <w:widowControl w:val="false"/>
              <w:spacing w:lineRule="auto" w:line="240" w:before="0" w:after="160"/>
              <w:jc w:val="both"/>
              <w:rPr/>
            </w:pPr>
            <w:r>
              <w:rPr/>
              <w:t>09 saúde</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05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a base de água galão de no mínimo 20 litros, cor vermelha</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05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a base de água galão de no mínimo 20 litros, cor verde</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semi brilho a base de água galão de no mínimo 20 litros, cor branco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econômica, lata de 18 litros, cor branca.</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DME</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40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Fosca Premium, lata de 18 litros, cor verde.</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DME</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Acrílica Fosca Premium, lata de 18 litros, cor vermelho.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DME</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Lata</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esmalte sintético de no mínimo 3,6 litros cor branco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09 saúde</w:t>
            </w:r>
          </w:p>
          <w:p>
            <w:pPr>
              <w:pStyle w:val="Normal"/>
              <w:widowControl w:val="false"/>
              <w:spacing w:lineRule="auto" w:line="240" w:before="0" w:after="160"/>
              <w:jc w:val="both"/>
              <w:rPr/>
            </w:pPr>
            <w:r>
              <w:rPr/>
              <w:t>4 social</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54</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spray multiuso para uso interno e externo, frasco com no mínimo 360ml, cores diversas</w:t>
            </w:r>
          </w:p>
        </w:tc>
        <w:tc>
          <w:tcPr>
            <w:tcW w:w="1137" w:type="dxa"/>
            <w:tcBorders>
              <w:top w:val="single" w:sz="8" w:space="0" w:color="000000"/>
              <w:bottom w:val="single" w:sz="8" w:space="0" w:color="000000"/>
              <w:right w:val="single" w:sz="8" w:space="0" w:color="000000"/>
            </w:tcBorders>
          </w:tcPr>
          <w:p>
            <w:pPr>
              <w:pStyle w:val="Normal"/>
              <w:widowControl w:val="false"/>
              <w:suppressAutoHyphens w:val="false"/>
              <w:spacing w:lineRule="auto" w:line="240"/>
              <w:jc w:val="both"/>
              <w:rPr/>
            </w:pPr>
            <w:r>
              <w:rPr/>
              <w:t>50 Infra</w:t>
            </w:r>
          </w:p>
          <w:p>
            <w:pPr>
              <w:pStyle w:val="Normal"/>
              <w:widowControl w:val="false"/>
              <w:spacing w:lineRule="auto" w:line="240" w:before="0" w:after="160"/>
              <w:jc w:val="both"/>
              <w:rPr/>
            </w:pPr>
            <w:r>
              <w:rPr/>
              <w:t>4 adm</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color w:val="000000"/>
              </w:rPr>
            </w:pPr>
            <w:r>
              <w:rPr>
                <w:color w:val="000000"/>
              </w:rPr>
              <w:t>Tinta spray multiuso cores metálicas ou alta temperatura. Frasco com no mínimo 360ml.</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Infra</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75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Solvente 900ml</w:t>
            </w:r>
          </w:p>
        </w:tc>
        <w:tc>
          <w:tcPr>
            <w:tcW w:w="1137" w:type="dxa"/>
            <w:tcBorders>
              <w:top w:val="single" w:sz="8" w:space="0" w:color="000000"/>
              <w:bottom w:val="single" w:sz="8" w:space="0" w:color="000000"/>
              <w:right w:val="single" w:sz="8" w:space="0" w:color="000000"/>
            </w:tcBorders>
          </w:tcPr>
          <w:p>
            <w:pPr>
              <w:pStyle w:val="Normal"/>
              <w:widowControl w:val="false"/>
              <w:suppressAutoHyphens w:val="false"/>
              <w:spacing w:lineRule="auto" w:line="240"/>
              <w:jc w:val="both"/>
              <w:rPr/>
            </w:pPr>
            <w:r>
              <w:rPr/>
              <w:t>50 Urb</w:t>
            </w:r>
          </w:p>
          <w:p>
            <w:pPr>
              <w:pStyle w:val="Normal"/>
              <w:widowControl w:val="false"/>
              <w:spacing w:lineRule="auto" w:line="240"/>
              <w:jc w:val="both"/>
              <w:rPr/>
            </w:pPr>
            <w:r>
              <w:rPr/>
              <w:t>10 saúde</w:t>
            </w:r>
          </w:p>
          <w:p>
            <w:pPr>
              <w:pStyle w:val="Normal"/>
              <w:widowControl w:val="false"/>
              <w:spacing w:lineRule="auto" w:line="240"/>
              <w:jc w:val="both"/>
              <w:rPr/>
            </w:pPr>
            <w:r>
              <w:rPr/>
              <w:t>05 Polícia</w:t>
            </w:r>
          </w:p>
          <w:p>
            <w:pPr>
              <w:pStyle w:val="Normal"/>
              <w:widowControl w:val="false"/>
              <w:spacing w:lineRule="auto" w:line="240" w:before="0" w:after="160"/>
              <w:jc w:val="both"/>
              <w:rPr/>
            </w:pPr>
            <w:r>
              <w:rPr/>
              <w:t>10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56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Massa corrida de 25kg</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50 Adm</w:t>
            </w:r>
          </w:p>
          <w:p>
            <w:pPr>
              <w:pStyle w:val="Normal"/>
              <w:widowControl w:val="false"/>
              <w:numPr>
                <w:ilvl w:val="0"/>
                <w:numId w:val="1"/>
              </w:numPr>
              <w:tabs>
                <w:tab w:val="clear" w:pos="708"/>
                <w:tab w:val="left" w:pos="0" w:leader="none"/>
              </w:tabs>
              <w:spacing w:lineRule="auto" w:line="240"/>
              <w:jc w:val="both"/>
              <w:rPr/>
            </w:pPr>
            <w:r>
              <w:rPr/>
              <w:t>04 saúde</w:t>
            </w:r>
          </w:p>
          <w:p>
            <w:pPr>
              <w:pStyle w:val="Normal"/>
              <w:widowControl w:val="false"/>
              <w:numPr>
                <w:ilvl w:val="0"/>
                <w:numId w:val="1"/>
              </w:numPr>
              <w:tabs>
                <w:tab w:val="clear" w:pos="708"/>
                <w:tab w:val="left" w:pos="0" w:leader="none"/>
              </w:tabs>
              <w:spacing w:lineRule="auto" w:line="240" w:before="0" w:after="160"/>
              <w:jc w:val="both"/>
              <w:rPr/>
            </w:pPr>
            <w:r>
              <w:rPr/>
              <w:t>2 social</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Selador acrílico premium 18 litros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30 Adm</w:t>
            </w:r>
          </w:p>
          <w:p>
            <w:pPr>
              <w:pStyle w:val="Normal"/>
              <w:widowControl w:val="false"/>
              <w:numPr>
                <w:ilvl w:val="0"/>
                <w:numId w:val="1"/>
              </w:numPr>
              <w:tabs>
                <w:tab w:val="clear" w:pos="708"/>
                <w:tab w:val="left" w:pos="0" w:leader="none"/>
              </w:tabs>
              <w:spacing w:lineRule="auto" w:line="240" w:before="0" w:after="160"/>
              <w:jc w:val="both"/>
              <w:rPr/>
            </w:pPr>
            <w:r>
              <w:rPr/>
              <w:t>05 saúde</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Textura acrílica premium 18 litros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Adm</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Fundo preparador de paredes de 18 litros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10 Adm</w:t>
            </w:r>
          </w:p>
          <w:p>
            <w:pPr>
              <w:pStyle w:val="Normal"/>
              <w:widowControl w:val="false"/>
              <w:spacing w:lineRule="auto" w:line="240" w:before="0" w:after="160"/>
              <w:jc w:val="both"/>
              <w:rPr/>
            </w:pPr>
            <w:r>
              <w:rPr/>
              <w:t>3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63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Rolo de lã de 09 cm profissional com cabo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03 adm</w:t>
            </w:r>
          </w:p>
          <w:p>
            <w:pPr>
              <w:pStyle w:val="Normal"/>
              <w:widowControl w:val="false"/>
              <w:spacing w:lineRule="auto" w:line="240"/>
              <w:jc w:val="both"/>
              <w:rPr/>
            </w:pPr>
            <w:r>
              <w:rPr/>
              <w:t>50 urb</w:t>
            </w:r>
          </w:p>
          <w:p>
            <w:pPr>
              <w:pStyle w:val="Normal"/>
              <w:widowControl w:val="false"/>
              <w:spacing w:lineRule="auto" w:line="240"/>
              <w:jc w:val="both"/>
              <w:rPr/>
            </w:pPr>
            <w:r>
              <w:rPr/>
              <w:t>05 saúde</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66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Rolo de lã de 15 cm profissional com cabo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03 adm</w:t>
            </w:r>
          </w:p>
          <w:p>
            <w:pPr>
              <w:pStyle w:val="Normal"/>
              <w:widowControl w:val="false"/>
              <w:spacing w:lineRule="auto" w:line="240"/>
              <w:jc w:val="both"/>
              <w:rPr/>
            </w:pPr>
            <w:r>
              <w:rPr/>
              <w:t>50 urb</w:t>
            </w:r>
          </w:p>
          <w:p>
            <w:pPr>
              <w:pStyle w:val="Normal"/>
              <w:widowControl w:val="false"/>
              <w:spacing w:lineRule="auto" w:line="240"/>
              <w:jc w:val="both"/>
              <w:rPr/>
            </w:pPr>
            <w:r>
              <w:rPr/>
              <w:t>08 saúde</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66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Rolo de lã de 23 cm profissional com cabo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03 adm</w:t>
            </w:r>
          </w:p>
          <w:p>
            <w:pPr>
              <w:pStyle w:val="Normal"/>
              <w:widowControl w:val="false"/>
              <w:spacing w:lineRule="auto" w:line="240"/>
              <w:jc w:val="both"/>
              <w:rPr/>
            </w:pPr>
            <w:r>
              <w:rPr/>
              <w:t>50 urb</w:t>
            </w:r>
          </w:p>
          <w:p>
            <w:pPr>
              <w:pStyle w:val="Normal"/>
              <w:widowControl w:val="false"/>
              <w:spacing w:lineRule="auto" w:line="240"/>
              <w:jc w:val="both"/>
              <w:rPr/>
            </w:pPr>
            <w:r>
              <w:rPr/>
              <w:t>08 saúde</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Pincel para pintura de 3 polegadas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03 adm</w:t>
            </w:r>
          </w:p>
          <w:p>
            <w:pPr>
              <w:pStyle w:val="Normal"/>
              <w:widowControl w:val="false"/>
              <w:spacing w:lineRule="auto" w:line="240"/>
              <w:jc w:val="both"/>
              <w:rPr/>
            </w:pPr>
            <w:r>
              <w:rPr/>
              <w:t>20 urb</w:t>
            </w:r>
          </w:p>
          <w:p>
            <w:pPr>
              <w:pStyle w:val="Normal"/>
              <w:widowControl w:val="false"/>
              <w:spacing w:lineRule="auto" w:line="240"/>
              <w:jc w:val="both"/>
              <w:rPr/>
            </w:pPr>
            <w:r>
              <w:rPr/>
              <w:t>08 saúde</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11</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Bandeja para pintura, plástico resistente com tamanho aproximado de 27x34cm</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jc w:val="both"/>
              <w:rPr/>
            </w:pPr>
            <w:r>
              <w:rPr/>
              <w:t>03 saúde</w:t>
            </w:r>
          </w:p>
          <w:p>
            <w:pPr>
              <w:pStyle w:val="Normal"/>
              <w:widowControl w:val="false"/>
              <w:spacing w:lineRule="auto" w:line="240"/>
              <w:jc w:val="both"/>
              <w:rPr/>
            </w:pPr>
            <w:r>
              <w:rPr/>
              <w:t>03 urb</w:t>
            </w:r>
          </w:p>
          <w:p>
            <w:pPr>
              <w:pStyle w:val="Normal"/>
              <w:widowControl w:val="false"/>
              <w:spacing w:lineRule="auto" w:line="240" w:before="0" w:after="160"/>
              <w:jc w:val="both"/>
              <w:rPr/>
            </w:pPr>
            <w:r>
              <w:rPr/>
              <w:t>5 habit</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"Orientação e destino", em chapa galvanizada, com 1,25 mm de espessura, refletivas GTP tipo 1 prismático, tamanho 80 cm x 60 cm. Modelo conforme informação solicitado, auxiliar com de "Comunidades, km de distância e sentido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80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"Regulamentação", em chapa galvanizada, com 1,25mm de espessura, refletivas GTP tipo 1 prismático, redonda, tamanho 50 cm de diâmetro. Modelo conforme solicitado, como por exemplo R14, R19, etc</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29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80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"advertência", em chapa galvanizada, com 1,25 mm de espessura, refletivas GTP tipo 1 prismático, quadrada com uma das diagonais para cima, tamanho 50x50 cm. Modelo conforme solicitado, como por exemplo A1a, A1b etc</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"indicação", em chapa galvanizada, com 1,25 mm de espessura, refletivas GTP tipo 1 prismático, tamanho 45x45 cm Modelo conforme solicitado.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"indicação", em chapa galvanizada, com 1,25 mm de espessura, refletivas GTP tipo 1 prismático, tamanho 50x50 cm Modelo conforme solicitado.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"indicação", em chapa galvanizada, com 1,25 mm de espessura, refletivas GTP tipo 1 prismático, tamanho 60x60 cm Modelo conforme solicitado.</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"Informação complementar às placas de regulamentação", em chapa galvanizada, com 1,25mm de espessura, refletivas GTP tipo 1 prismático, Modelo conforme solicitado, como por exemplo RI-1,RI-19, etc</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"Informação complementar às placas de Advertência ", em chapa galvanizada, com 1,25mm de espessura, refletivas GTP tipo 1 prismático, Modelo conforme solicitado, como por exemplo, AIC-1, AIC-2</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Placas de sinalização de trânsito do tipo "Educação", em chapa galvanizada, com 1,25 mm de espessura, refletivas GTP tipo 1 prismático, Modelo conforme solicitado, exemplo E-1, E-2, etc</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36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pPr>
            <w:r>
              <w:rPr/>
              <w:t>150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pPr>
            <w:r>
              <w:rPr/>
              <w:t>Un</w:t>
            </w:r>
          </w:p>
        </w:tc>
        <w:tc>
          <w:tcPr>
            <w:tcW w:w="6234"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eastAsia="ArialMT;Times New Roman"/>
              </w:rPr>
            </w:pPr>
            <w:r>
              <w:rPr>
                <w:rFonts w:eastAsia="ArialMT;Times New Roman"/>
              </w:rPr>
              <w:t>Tubo galvanizado de 3 metros de comprimento, diâmetro de 50,00 mm, espessura de 2 mm, com tampa de plástico rígido em uma das extremidades.</w:t>
            </w:r>
          </w:p>
        </w:tc>
        <w:tc>
          <w:tcPr>
            <w:tcW w:w="113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pPr>
            <w:r>
              <w:rPr/>
              <w:t>Urb</w:t>
            </w:r>
          </w:p>
        </w:tc>
      </w:tr>
    </w:tbl>
    <w:p>
      <w:pPr>
        <w:pStyle w:val="Normal"/>
        <w:tabs>
          <w:tab w:val="clear" w:pos="708"/>
          <w:tab w:val="left" w:pos="2340" w:leader="none"/>
          <w:tab w:val="left" w:pos="4464" w:leader="none"/>
        </w:tabs>
        <w:spacing w:lineRule="auto" w:line="240"/>
        <w:jc w:val="both"/>
        <w:rPr>
          <w:bCs/>
          <w:sz w:val="18"/>
          <w:szCs w:val="18"/>
        </w:rPr>
      </w:pPr>
      <w:r>
        <w:rPr>
          <w:bCs/>
          <w:sz w:val="18"/>
          <w:szCs w:val="18"/>
        </w:rPr>
        <w:t>* Tratando-se de Sistema de Registro de Preços, os quantitativos acima discriminados não obrigam a contratação pela administração pública, nos termos do art. 83 da Lei Federal n. 14.133/2021.</w:t>
      </w:r>
    </w:p>
    <w:p>
      <w:pPr>
        <w:pStyle w:val="ListParagraph"/>
        <w:numPr>
          <w:ilvl w:val="1"/>
          <w:numId w:val="2"/>
        </w:numPr>
        <w:tabs>
          <w:tab w:val="clear" w:pos="708"/>
          <w:tab w:val="left" w:pos="0" w:leader="none"/>
        </w:tabs>
        <w:spacing w:lineRule="auto" w:line="360" w:before="140" w:after="140"/>
        <w:contextualSpacing/>
        <w:rPr>
          <w:b/>
          <w:b/>
        </w:rPr>
      </w:pPr>
      <w:r>
        <w:rPr>
          <w:b/>
        </w:rPr>
        <w:t>PRAZO DE VIGÊNCIA DA ATA DE REGISTRO DE PREÇOS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sz w:val="21"/>
          <w:szCs w:val="21"/>
        </w:rPr>
        <w:t xml:space="preserve">O prazo de vigência da ata de registro de preços será de 1 (um) ano e poderá ser prorrogado por igual período, desde que comprovado o preço vantajoso, nos termos do art. 84, </w:t>
      </w:r>
      <w:r>
        <w:rPr>
          <w:rFonts w:ascii="Arial" w:hAnsi="Arial"/>
          <w:i/>
          <w:iCs/>
          <w:sz w:val="21"/>
          <w:szCs w:val="21"/>
        </w:rPr>
        <w:t>caput</w:t>
      </w:r>
      <w:r>
        <w:rPr>
          <w:rFonts w:ascii="Arial" w:hAnsi="Arial"/>
          <w:sz w:val="21"/>
          <w:szCs w:val="21"/>
        </w:rPr>
        <w:t xml:space="preserve">, da Lei Federal n. 14.133/2021. </w:t>
      </w:r>
    </w:p>
    <w:p>
      <w:pPr>
        <w:pStyle w:val="Normal"/>
        <w:tabs>
          <w:tab w:val="clear" w:pos="708"/>
          <w:tab w:val="left" w:pos="2340" w:leader="none"/>
          <w:tab w:val="left" w:pos="4464" w:leader="none"/>
        </w:tabs>
        <w:spacing w:lineRule="auto" w:line="360" w:before="140" w:after="140"/>
        <w:ind w:firstLine="709"/>
        <w:jc w:val="both"/>
        <w:rPr/>
      </w:pPr>
      <w:r>
        <w:rPr>
          <w:rFonts w:ascii="Arial" w:hAnsi="Arial"/>
          <w:sz w:val="21"/>
          <w:szCs w:val="21"/>
        </w:rPr>
        <w:t>Em caso de prorrogação da vigência da ata de registro de preços, as quantidades inicialmente registradas serão renovadas na sua totalidade, independentemente do</w:t>
      </w:r>
      <w:r>
        <w:rPr/>
        <w:t xml:space="preserve"> quantitativo </w:t>
      </w:r>
      <w:r>
        <w:rPr>
          <w:rFonts w:ascii="Arial" w:hAnsi="Arial"/>
          <w:sz w:val="21"/>
          <w:szCs w:val="21"/>
        </w:rPr>
        <w:t>utilizado no período de vigência, não sendo possível cumular com as quantidades não utilizadas, conforme previsto no decreto regulamentador do município.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sz w:val="21"/>
          <w:szCs w:val="21"/>
        </w:rPr>
        <w:t>Nos termos do art. 84, parágrafo único, da Lei Federal n. 14.133/2021, o prazo de vigência dos contratos decorrentes do Sistema de Registro de Preços não se confunde com aquele da ata de registro de preços, mas deverá ser assinado durante a vigência da ata e terá sua vigência estabelecida em conformidade com as disposições nela contidas.</w:t>
      </w:r>
    </w:p>
    <w:p>
      <w:pPr>
        <w:pStyle w:val="ListParagraph"/>
        <w:numPr>
          <w:ilvl w:val="1"/>
          <w:numId w:val="2"/>
        </w:numPr>
        <w:tabs>
          <w:tab w:val="clear" w:pos="708"/>
          <w:tab w:val="left" w:pos="0" w:leader="none"/>
        </w:tabs>
        <w:spacing w:lineRule="auto" w:line="360" w:before="140" w:after="140"/>
        <w:contextualSpacing/>
        <w:rPr>
          <w:b/>
          <w:b/>
        </w:rPr>
      </w:pPr>
      <w:r>
        <w:rPr>
          <w:b/>
        </w:rPr>
        <w:t>ESPECIFICAÇÃO DOS PRODUTOS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sz w:val="21"/>
          <w:szCs w:val="21"/>
        </w:rPr>
        <w:t>A especificação dos produtos requerida pelo art. 40, § 1º, inciso I, da Lei Federal n. 14.133/2021 está estabelecida nos descritivos dos itens e no presente Termo de Referência, observados requisitos de qualidade, rendimento e durabilidade.</w:t>
      </w:r>
    </w:p>
    <w:p>
      <w:pPr>
        <w:pStyle w:val="ListParagraph"/>
        <w:numPr>
          <w:ilvl w:val="0"/>
          <w:numId w:val="2"/>
        </w:numPr>
        <w:tabs>
          <w:tab w:val="clear" w:pos="708"/>
          <w:tab w:val="left" w:pos="0" w:leader="none"/>
        </w:tabs>
        <w:spacing w:lineRule="auto" w:line="360" w:before="140" w:after="140"/>
        <w:contextualSpacing/>
        <w:rPr>
          <w:b/>
          <w:b/>
        </w:rPr>
      </w:pPr>
      <w:r>
        <w:rPr>
          <w:b/>
        </w:rPr>
        <w:t>DESCRIÇÃO DA SOLUÇÃO COMO UM TODO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A escolha da Licitação para Fornecimento de Materiais emerge como a solução integral para atender às necessidades de aquisição de materiais como tintas e correlatos, bem como placas de trânsito, nos próximos 24 meses. Esta abordagem engloba não apenas a seleção de materiais de alta qualidade, mas também estabelece um processo transparente e competitivo que visa aperfeiçoar os recursos disponíveis. Resumimos a solução como um todo, considerando as exigências relacionadas à manutenção e assistência técnica:</w:t>
      </w:r>
    </w:p>
    <w:p>
      <w:pPr>
        <w:pStyle w:val="Normal"/>
        <w:tabs>
          <w:tab w:val="clear" w:pos="708"/>
          <w:tab w:val="left" w:pos="2340" w:leader="none"/>
          <w:tab w:val="left" w:pos="4464" w:leader="none"/>
        </w:tabs>
        <w:spacing w:lineRule="auto" w:line="360" w:before="142" w:after="142"/>
        <w:ind w:firstLine="709"/>
        <w:jc w:val="both"/>
        <w:rPr/>
      </w:pPr>
      <w:r>
        <w:rPr>
          <w:b/>
          <w:bCs/>
        </w:rPr>
        <w:t xml:space="preserve">Seleção de Materiais de Alta Qualidade: </w:t>
      </w:r>
      <w:r>
        <w:rPr>
          <w:rFonts w:ascii="Arial" w:hAnsi="Arial"/>
          <w:sz w:val="21"/>
          <w:szCs w:val="21"/>
        </w:rPr>
        <w:t>O processo de licitação assegura a escolha dos melhores materiais, considerando critérios técnicos específicos que garantem a qualidade e durabilidade necessárias para a sinalização viária e pintura eficaz.</w:t>
      </w:r>
    </w:p>
    <w:p>
      <w:pPr>
        <w:pStyle w:val="Normal"/>
        <w:tabs>
          <w:tab w:val="clear" w:pos="708"/>
          <w:tab w:val="left" w:pos="2340" w:leader="none"/>
          <w:tab w:val="left" w:pos="4464" w:leader="none"/>
        </w:tabs>
        <w:spacing w:lineRule="auto" w:line="360" w:before="142" w:after="142"/>
        <w:ind w:firstLine="709"/>
        <w:jc w:val="both"/>
        <w:rPr/>
      </w:pPr>
      <w:r>
        <w:rPr>
          <w:b/>
          <w:bCs/>
        </w:rPr>
        <w:t xml:space="preserve">Transparência e Competitividade: </w:t>
      </w:r>
      <w:r>
        <w:rPr>
          <w:rFonts w:ascii="Arial" w:hAnsi="Arial"/>
          <w:sz w:val="21"/>
          <w:szCs w:val="21"/>
        </w:rPr>
        <w:t>A Licitação promove a transparência, permitindo a participação de diferentes fornecedores e incentivando a competição. Essa abordagem</w:t>
      </w:r>
      <w:r>
        <w:rPr>
          <w:rFonts w:eastAsia="SimSun" w:cs="Times-Roman;Times New Roman" w:ascii="Arial" w:hAnsi="Arial"/>
          <w:sz w:val="21"/>
          <w:szCs w:val="21"/>
          <w:lang w:eastAsia="pt-BR" w:bidi="ar-SA"/>
        </w:rPr>
        <w:t xml:space="preserve"> </w:t>
      </w:r>
      <w:r>
        <w:rPr>
          <w:rFonts w:ascii="Arial" w:hAnsi="Arial"/>
          <w:sz w:val="21"/>
          <w:szCs w:val="21"/>
        </w:rPr>
        <w:t>assegura a seleção da proposta mais vantajosa, equilibrando custo, qualidade e prazos de entrega.</w:t>
      </w:r>
    </w:p>
    <w:p>
      <w:pPr>
        <w:pStyle w:val="Normal"/>
        <w:tabs>
          <w:tab w:val="clear" w:pos="708"/>
          <w:tab w:val="left" w:pos="2340" w:leader="none"/>
          <w:tab w:val="left" w:pos="4464" w:leader="none"/>
        </w:tabs>
        <w:spacing w:lineRule="auto" w:line="360" w:before="142" w:after="142"/>
        <w:ind w:firstLine="709"/>
        <w:jc w:val="both"/>
        <w:rPr/>
      </w:pPr>
      <w:r>
        <w:rPr>
          <w:b/>
          <w:bCs/>
        </w:rPr>
        <w:t xml:space="preserve">Eficiência na Aquisição: </w:t>
      </w:r>
      <w:r>
        <w:rPr>
          <w:rFonts w:ascii="Arial" w:hAnsi="Arial"/>
          <w:sz w:val="21"/>
          <w:szCs w:val="21"/>
        </w:rPr>
        <w:t>A solução visa a eficiência ao aperfeiçoar o processo de aquisição. Ao atrair propostas competitivas, busca-se garantir que o município adquira os materiais necessários de forma econômica, alinhada aos interesses financeiros e operacionais.</w:t>
      </w:r>
    </w:p>
    <w:p>
      <w:pPr>
        <w:pStyle w:val="Normal"/>
        <w:tabs>
          <w:tab w:val="clear" w:pos="708"/>
          <w:tab w:val="left" w:pos="2340" w:leader="none"/>
          <w:tab w:val="left" w:pos="4464" w:leader="none"/>
        </w:tabs>
        <w:spacing w:lineRule="auto" w:line="360" w:before="142" w:after="142"/>
        <w:ind w:firstLine="709"/>
        <w:jc w:val="both"/>
        <w:rPr/>
      </w:pPr>
      <w:r>
        <w:rPr>
          <w:b/>
          <w:bCs/>
        </w:rPr>
        <w:t xml:space="preserve">Atendimento a Padrões Regulatórios: </w:t>
      </w:r>
      <w:r>
        <w:rPr>
          <w:rFonts w:ascii="Arial" w:hAnsi="Arial"/>
          <w:sz w:val="21"/>
          <w:szCs w:val="21"/>
        </w:rPr>
        <w:t>A Licitação considerará exigências regulatórias, garantindo que os materiais adquiridos estejam em conformidade com normas e padrões estabelecidos, promovendo a segurança viária.</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A aquisição das tintas e materiais correlatos irá proporcionar uma considerável melhora na estrutura dos imóveis pertencentes ao município, pois irá propiciar a este ente que utilize o seu pessoal e faça as manutenções necessárias na estrutura do Município, realizando a pintura interna e externa de todas as estruturas que se faça necessárias, primando pelo zelo do patrimônio público.</w:t>
      </w:r>
    </w:p>
    <w:p>
      <w:pPr>
        <w:pStyle w:val="Normal"/>
        <w:tabs>
          <w:tab w:val="clear" w:pos="708"/>
          <w:tab w:val="left" w:pos="2340" w:leader="none"/>
          <w:tab w:val="left" w:pos="4464" w:leader="none"/>
        </w:tabs>
        <w:spacing w:lineRule="auto" w:line="360" w:before="142" w:after="142"/>
        <w:ind w:firstLine="709"/>
        <w:jc w:val="both"/>
        <w:rPr/>
      </w:pPr>
      <w:r>
        <w:rPr>
          <w:b/>
          <w:bCs/>
        </w:rPr>
        <w:t xml:space="preserve">Descrição da Solução Técnica: </w:t>
      </w:r>
      <w:r>
        <w:rPr>
          <w:rFonts w:ascii="Arial" w:hAnsi="Arial"/>
          <w:sz w:val="21"/>
          <w:szCs w:val="21"/>
        </w:rPr>
        <w:t>A Licitação para Fornecimento de Materiais envolverá a abertura de um processo competitivo, permitindo que diferentes fornecedores apresentem propostas. Este método visa garantir a escolha do fornecedor mais qualificado e economicamente vantajoso. A estrutura da licitação incluirá critérios técnicos específicos para garantir a qualidade dos materiais de tintas viárias.</w:t>
      </w:r>
    </w:p>
    <w:p>
      <w:pPr>
        <w:pStyle w:val="Normal"/>
        <w:tabs>
          <w:tab w:val="clear" w:pos="708"/>
          <w:tab w:val="left" w:pos="2340" w:leader="none"/>
          <w:tab w:val="left" w:pos="4464" w:leader="none"/>
        </w:tabs>
        <w:spacing w:lineRule="auto" w:line="360" w:before="142" w:after="142"/>
        <w:ind w:firstLine="709"/>
        <w:jc w:val="both"/>
        <w:rPr/>
      </w:pPr>
      <w:r>
        <w:rPr>
          <w:b/>
          <w:bCs/>
        </w:rPr>
        <w:t xml:space="preserve">Descrição da Solução Econômica: </w:t>
      </w:r>
      <w:r>
        <w:rPr>
          <w:rFonts w:ascii="Arial" w:hAnsi="Arial"/>
          <w:sz w:val="21"/>
          <w:szCs w:val="21"/>
        </w:rPr>
        <w:t>A licitação busca otimizar os custos ao atrair propostas competitivas. Serão considerados não apenas os aspectos econômicos, como o preço dos materiais, mas também a qualidade, prazos de entrega e outras condições contratuais. A transparência proporcionada pela licitação contribui para uma escolha economicamente vantajosa, alinhada com os interesses financeiros da cidade.</w:t>
      </w:r>
    </w:p>
    <w:p>
      <w:pPr>
        <w:pStyle w:val="Normal"/>
        <w:tabs>
          <w:tab w:val="clear" w:pos="708"/>
          <w:tab w:val="left" w:pos="2340" w:leader="none"/>
          <w:tab w:val="left" w:pos="4464" w:leader="none"/>
        </w:tabs>
        <w:spacing w:lineRule="auto" w:line="360" w:before="142" w:after="142"/>
        <w:ind w:firstLine="709"/>
        <w:jc w:val="both"/>
        <w:rPr/>
      </w:pPr>
      <w:r>
        <w:rPr>
          <w:b/>
          <w:bCs/>
        </w:rPr>
        <w:t xml:space="preserve">Perspectiva do Interesse Público: </w:t>
      </w:r>
      <w:r>
        <w:rPr>
          <w:rFonts w:ascii="Arial" w:hAnsi="Arial"/>
          <w:sz w:val="21"/>
          <w:szCs w:val="21"/>
        </w:rPr>
        <w:t>A Licitação para Fornecimento de Materiais promove a igualdade de oportunidades para fornecedores, incentivando a competição e garantindo a escolha da opção mais benéfica para a cidade. Essa abordagem contribui para o interesse público ao assegurar a qualidade dos materiais de tintas viárias, a eficiência na aquisição e o cumprimento de padrões regulatórios.</w:t>
      </w:r>
    </w:p>
    <w:p>
      <w:pPr>
        <w:pStyle w:val="Normal"/>
        <w:tabs>
          <w:tab w:val="clear" w:pos="708"/>
          <w:tab w:val="left" w:pos="2340" w:leader="none"/>
          <w:tab w:val="left" w:pos="4464" w:leader="none"/>
        </w:tabs>
        <w:spacing w:lineRule="auto" w:line="360" w:before="140" w:after="140"/>
        <w:ind w:firstLine="709"/>
        <w:jc w:val="both"/>
        <w:rPr/>
      </w:pPr>
      <w:r>
        <w:rPr>
          <w:b/>
          <w:bCs/>
        </w:rPr>
        <w:t xml:space="preserve">Consideração do Ciclo de Vida do Objeto: </w:t>
      </w:r>
      <w:r>
        <w:rPr>
          <w:rFonts w:ascii="Arial" w:hAnsi="Arial"/>
          <w:sz w:val="21"/>
          <w:szCs w:val="21"/>
        </w:rPr>
        <w:t>A licitação, ao considerar diferentes aspectos durante o processo, abrange o ciclo de vida completo dos materiais de tintas viárias. Desde a aquisição até o uso e eventual descarte, a escolha visa garantir a sustentabilidade, durabilidade e eficácia ao longo do tempo.</w:t>
      </w:r>
    </w:p>
    <w:p>
      <w:pPr>
        <w:pStyle w:val="ListParagraph"/>
        <w:numPr>
          <w:ilvl w:val="0"/>
          <w:numId w:val="2"/>
        </w:numPr>
        <w:tabs>
          <w:tab w:val="clear" w:pos="708"/>
          <w:tab w:val="left" w:pos="0" w:leader="none"/>
          <w:tab w:val="left" w:pos="2340" w:leader="none"/>
          <w:tab w:val="left" w:pos="4464" w:leader="none"/>
        </w:tabs>
        <w:spacing w:lineRule="auto" w:line="360" w:before="140" w:after="140"/>
        <w:contextualSpacing/>
        <w:jc w:val="both"/>
        <w:rPr>
          <w:b/>
          <w:b/>
        </w:rPr>
      </w:pPr>
      <w:r>
        <w:rPr>
          <w:b/>
        </w:rPr>
        <w:t>REQUISITOS DA CONTRATAÇÃO</w:t>
      </w:r>
    </w:p>
    <w:p>
      <w:pPr>
        <w:pStyle w:val="Normal"/>
        <w:tabs>
          <w:tab w:val="clear" w:pos="708"/>
          <w:tab w:val="left" w:pos="2340" w:leader="none"/>
          <w:tab w:val="left" w:pos="4464" w:leader="none"/>
        </w:tabs>
        <w:spacing w:lineRule="auto" w:line="360" w:before="140" w:after="140"/>
        <w:ind w:firstLine="709"/>
        <w:jc w:val="both"/>
        <w:rPr>
          <w:bCs/>
        </w:rPr>
      </w:pPr>
      <w:r>
        <w:rPr>
          <w:bCs/>
        </w:rPr>
        <w:t>C</w:t>
      </w:r>
      <w:r>
        <w:rPr>
          <w:rFonts w:ascii="Arial" w:hAnsi="Arial"/>
          <w:bCs/>
          <w:sz w:val="21"/>
          <w:szCs w:val="21"/>
        </w:rPr>
        <w:t xml:space="preserve">onforme disposto no Estudo Técnico Preliminar, poderão participar desta licitação todas e quaisquer empresas ou sociedades, regularmente estabelecidas no País – </w:t>
      </w:r>
      <w:bookmarkStart w:id="0" w:name="_Hlk1291563721"/>
      <w:r>
        <w:rPr>
          <w:rFonts w:ascii="Arial" w:hAnsi="Arial"/>
          <w:bCs/>
          <w:sz w:val="21"/>
          <w:szCs w:val="21"/>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bookmarkEnd w:id="0"/>
      <w:r>
        <w:rPr>
          <w:rFonts w:ascii="Arial" w:hAnsi="Arial"/>
          <w:bCs/>
          <w:sz w:val="21"/>
          <w:szCs w:val="21"/>
        </w:rPr>
        <w:t>.</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1" w:name="_Hlk1321905011"/>
      <w:r>
        <w:rPr>
          <w:rFonts w:ascii="Arial" w:hAnsi="Arial"/>
          <w:bCs/>
          <w:sz w:val="21"/>
          <w:szCs w:val="21"/>
        </w:rPr>
        <w:t>presentes nos autos deste processo licitatório</w:t>
      </w:r>
      <w:bookmarkEnd w:id="1"/>
      <w:r>
        <w:rPr>
          <w:rFonts w:ascii="Arial" w:hAnsi="Arial"/>
          <w:bCs/>
          <w:sz w:val="21"/>
          <w:szCs w:val="21"/>
        </w:rPr>
        <w:t>.</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bookmarkStart w:id="2" w:name="_Hlk1291608961"/>
      <w:bookmarkStart w:id="3" w:name="_Hlk129161118"/>
      <w:bookmarkEnd w:id="3"/>
      <w:r>
        <w:rPr>
          <w:rFonts w:ascii="Arial" w:hAnsi="Arial"/>
          <w:bCs/>
          <w:sz w:val="21"/>
          <w:szCs w:val="21"/>
        </w:rPr>
        <w:t>É necessário manter as condições de habilitação exigidas na licitação e comprovar a regularidade fiscal e trabalhista junto ao Órgão Gerenciador.</w:t>
      </w:r>
      <w:bookmarkStart w:id="4" w:name="_Hlk1291862592"/>
      <w:bookmarkEnd w:id="2"/>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ATENDIMENTO ÀS NORMAS TÉCNICAS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Como requisito para a contratação, os itens licitados devem atender às legislações e normas técnicas que estabelecem os requisitos de dimensões, material, uso, manutenção, descarte, entre outros. As normas a serem atendidas, a depender do bem em específico e sem exclusão de outras que vierem a ser aplicáveis, são:</w:t>
      </w:r>
    </w:p>
    <w:p>
      <w:pPr>
        <w:pStyle w:val="Normal"/>
        <w:numPr>
          <w:ilvl w:val="0"/>
          <w:numId w:val="8"/>
        </w:numPr>
        <w:tabs>
          <w:tab w:val="clear" w:pos="708"/>
          <w:tab w:val="left" w:pos="0" w:leader="none"/>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ABNT NBR 15079-2:2019 ou posterior</w:t>
      </w:r>
    </w:p>
    <w:p>
      <w:pPr>
        <w:pStyle w:val="Normal"/>
        <w:numPr>
          <w:ilvl w:val="0"/>
          <w:numId w:val="8"/>
        </w:numPr>
        <w:tabs>
          <w:tab w:val="clear" w:pos="708"/>
          <w:tab w:val="left" w:pos="0" w:leader="none"/>
          <w:tab w:val="left" w:pos="2340" w:leader="none"/>
          <w:tab w:val="left" w:pos="4464" w:leader="none"/>
        </w:tabs>
        <w:spacing w:lineRule="auto" w:line="360" w:before="142" w:after="142"/>
        <w:jc w:val="both"/>
        <w:rPr>
          <w:rFonts w:ascii="Arial" w:hAnsi="Arial"/>
          <w:sz w:val="21"/>
          <w:szCs w:val="21"/>
        </w:rPr>
      </w:pPr>
      <w:r>
        <w:rPr>
          <w:rFonts w:ascii="Arial" w:hAnsi="Arial"/>
          <w:bCs/>
          <w:sz w:val="21"/>
          <w:szCs w:val="21"/>
        </w:rPr>
        <w:t>ABNT NBR 15494:2015 ou posterior</w:t>
      </w:r>
    </w:p>
    <w:p>
      <w:pPr>
        <w:pStyle w:val="Normal"/>
        <w:numPr>
          <w:ilvl w:val="0"/>
          <w:numId w:val="8"/>
        </w:numPr>
        <w:tabs>
          <w:tab w:val="clear" w:pos="708"/>
          <w:tab w:val="left" w:pos="0" w:leader="none"/>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ABNT 11702:2019 ou posterior</w:t>
      </w:r>
    </w:p>
    <w:p>
      <w:pPr>
        <w:pStyle w:val="Normal"/>
        <w:numPr>
          <w:ilvl w:val="0"/>
          <w:numId w:val="8"/>
        </w:numPr>
        <w:tabs>
          <w:tab w:val="clear" w:pos="708"/>
          <w:tab w:val="left" w:pos="0" w:leader="none"/>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NBR 11862</w:t>
      </w:r>
    </w:p>
    <w:p>
      <w:pPr>
        <w:pStyle w:val="Normal"/>
        <w:numPr>
          <w:ilvl w:val="0"/>
          <w:numId w:val="8"/>
        </w:numPr>
        <w:tabs>
          <w:tab w:val="clear" w:pos="708"/>
          <w:tab w:val="left" w:pos="0" w:leader="none"/>
          <w:tab w:val="left" w:pos="2340" w:leader="none"/>
          <w:tab w:val="left" w:pos="4464" w:leader="none"/>
        </w:tabs>
        <w:spacing w:lineRule="auto" w:line="360" w:before="142" w:after="142"/>
        <w:jc w:val="both"/>
        <w:rPr>
          <w:rFonts w:ascii="Arial" w:hAnsi="Arial"/>
          <w:sz w:val="21"/>
          <w:szCs w:val="21"/>
        </w:rPr>
      </w:pPr>
      <w:r>
        <w:rPr>
          <w:rFonts w:ascii="Arial" w:hAnsi="Arial"/>
          <w:sz w:val="21"/>
          <w:szCs w:val="21"/>
        </w:rPr>
        <w:t>ABNT: NBR 14644</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CRITÉRIOS DE SUSTENTABILIDADE</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Não se aplica.</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MARCAS E MODELOS DE REFERÊNCIA</w:t>
      </w:r>
    </w:p>
    <w:p>
      <w:pPr>
        <w:pStyle w:val="Normal"/>
        <w:tabs>
          <w:tab w:val="clear" w:pos="708"/>
          <w:tab w:val="left" w:pos="2340" w:leader="none"/>
          <w:tab w:val="left" w:pos="4464" w:leader="none"/>
        </w:tabs>
        <w:spacing w:lineRule="auto" w:line="360" w:before="142" w:after="142"/>
        <w:ind w:left="709" w:hanging="0"/>
        <w:jc w:val="both"/>
        <w:rPr>
          <w:rFonts w:ascii="Arial" w:hAnsi="Arial"/>
          <w:sz w:val="21"/>
          <w:szCs w:val="21"/>
        </w:rPr>
      </w:pPr>
      <w:r>
        <w:rPr>
          <w:rFonts w:ascii="Arial" w:hAnsi="Arial"/>
          <w:bCs/>
          <w:sz w:val="21"/>
          <w:szCs w:val="21"/>
        </w:rPr>
        <w:t>Não se aplica.</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PRÉ-QUALIFICAÇÃO DOS ITENS</w:t>
      </w:r>
    </w:p>
    <w:p>
      <w:pPr>
        <w:pStyle w:val="Normal"/>
        <w:tabs>
          <w:tab w:val="clear" w:pos="708"/>
          <w:tab w:val="left" w:pos="2340" w:leader="none"/>
          <w:tab w:val="left" w:pos="4464" w:leader="none"/>
        </w:tabs>
        <w:spacing w:lineRule="auto" w:line="360" w:before="142" w:after="142"/>
        <w:ind w:left="709" w:hanging="0"/>
        <w:jc w:val="both"/>
        <w:rPr>
          <w:rFonts w:ascii="Arial" w:hAnsi="Arial"/>
          <w:sz w:val="21"/>
          <w:szCs w:val="21"/>
        </w:rPr>
      </w:pPr>
      <w:bookmarkStart w:id="5" w:name="_Hlk1291611181"/>
      <w:bookmarkEnd w:id="4"/>
      <w:bookmarkEnd w:id="5"/>
      <w:r>
        <w:rPr>
          <w:rFonts w:ascii="Arial" w:hAnsi="Arial"/>
          <w:bCs/>
          <w:sz w:val="21"/>
          <w:szCs w:val="21"/>
        </w:rPr>
        <w:t>Não se aplica.</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ESTIMATIVA DO VALOR DA CONTRATAÇÃO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O valor da contratação fora estimado a partir dos quantitativos já expostos no corpo deste Termo de Referência e da pesquisa de preços realizada nos termos do art. 23, </w:t>
      </w:r>
      <w:r>
        <w:rPr>
          <w:rFonts w:ascii="Arial" w:hAnsi="Arial"/>
          <w:bCs/>
          <w:i/>
          <w:iCs/>
          <w:sz w:val="21"/>
          <w:szCs w:val="21"/>
        </w:rPr>
        <w:t>caput</w:t>
      </w:r>
      <w:r>
        <w:rPr>
          <w:rFonts w:ascii="Arial" w:hAnsi="Arial"/>
          <w:bCs/>
          <w:sz w:val="21"/>
          <w:szCs w:val="21"/>
        </w:rPr>
        <w:t xml:space="preserve"> e § 1º, da Lei Federal n. 14.133/2021.</w:t>
      </w:r>
    </w:p>
    <w:tbl>
      <w:tblPr>
        <w:tblW w:w="9629" w:type="dxa"/>
        <w:jc w:val="left"/>
        <w:tblInd w:w="80" w:type="dxa"/>
        <w:tblLayout w:type="fixed"/>
        <w:tblCellMar>
          <w:top w:w="0" w:type="dxa"/>
          <w:left w:w="70" w:type="dxa"/>
          <w:bottom w:w="0" w:type="dxa"/>
          <w:right w:w="70" w:type="dxa"/>
        </w:tblCellMar>
      </w:tblPr>
      <w:tblGrid>
        <w:gridCol w:w="688"/>
        <w:gridCol w:w="578"/>
        <w:gridCol w:w="992"/>
        <w:gridCol w:w="4961"/>
        <w:gridCol w:w="992"/>
        <w:gridCol w:w="1417"/>
      </w:tblGrid>
      <w:tr>
        <w:trPr>
          <w:tblHeader w:val="true"/>
          <w:trHeight w:val="567" w:hRule="atLeast"/>
        </w:trPr>
        <w:tc>
          <w:tcPr>
            <w:tcW w:w="688" w:type="dxa"/>
            <w:tcBorders>
              <w:top w:val="single" w:sz="8" w:space="0" w:color="000000"/>
              <w:left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ITEM</w:t>
            </w:r>
          </w:p>
        </w:tc>
        <w:tc>
          <w:tcPr>
            <w:tcW w:w="578"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QTD</w:t>
            </w:r>
          </w:p>
        </w:tc>
        <w:tc>
          <w:tcPr>
            <w:tcW w:w="992"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UNIDADE</w:t>
            </w:r>
          </w:p>
        </w:tc>
        <w:tc>
          <w:tcPr>
            <w:tcW w:w="4961" w:type="dxa"/>
            <w:tcBorders>
              <w:top w:val="single" w:sz="8" w:space="0" w:color="000000"/>
              <w:bottom w:val="single" w:sz="8" w:space="0" w:color="000000"/>
              <w:right w:val="single" w:sz="8" w:space="0" w:color="000000"/>
            </w:tcBorders>
            <w:shd w:fill="969696" w:val="clear"/>
            <w:vAlign w:val="cente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DESCRIÇÃO</w:t>
            </w:r>
          </w:p>
        </w:tc>
        <w:tc>
          <w:tcPr>
            <w:tcW w:w="992" w:type="dxa"/>
            <w:tcBorders>
              <w:top w:val="single" w:sz="8" w:space="0" w:color="000000"/>
              <w:bottom w:val="single" w:sz="8" w:space="0" w:color="000000"/>
              <w:right w:val="single" w:sz="8" w:space="0" w:color="000000"/>
            </w:tcBorders>
            <w:shd w:fill="969696" w:val="clea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VALOR UNIT</w:t>
            </w:r>
          </w:p>
        </w:tc>
        <w:tc>
          <w:tcPr>
            <w:tcW w:w="1417" w:type="dxa"/>
            <w:tcBorders>
              <w:top w:val="single" w:sz="8" w:space="0" w:color="000000"/>
              <w:bottom w:val="single" w:sz="8" w:space="0" w:color="000000"/>
              <w:right w:val="single" w:sz="8" w:space="0" w:color="000000"/>
            </w:tcBorders>
            <w:shd w:fill="969696" w:val="clear"/>
          </w:tcPr>
          <w:p>
            <w:pPr>
              <w:pStyle w:val="Normal"/>
              <w:widowControl w:val="false"/>
              <w:spacing w:lineRule="auto" w:line="240" w:before="0" w:after="160"/>
              <w:jc w:val="center"/>
              <w:rPr>
                <w:rFonts w:ascii="Arial" w:hAnsi="Arial"/>
                <w:sz w:val="21"/>
                <w:szCs w:val="21"/>
              </w:rPr>
            </w:pPr>
            <w:r>
              <w:rPr>
                <w:rFonts w:eastAsia="Times New Roman" w:ascii="Arial" w:hAnsi="Arial"/>
                <w:b/>
                <w:bCs/>
                <w:color w:val="000000"/>
                <w:sz w:val="21"/>
                <w:szCs w:val="21"/>
                <w:lang w:eastAsia="pt-BR"/>
              </w:rPr>
              <w:t>VALOR TOTAL</w:t>
            </w:r>
          </w:p>
        </w:tc>
      </w:tr>
      <w:tr>
        <w:trPr>
          <w:trHeight w:val="567" w:hRule="atLeast"/>
        </w:trPr>
        <w:tc>
          <w:tcPr>
            <w:tcW w:w="688"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w:t>
            </w:r>
          </w:p>
        </w:tc>
        <w:tc>
          <w:tcPr>
            <w:tcW w:w="578"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150</w:t>
            </w:r>
          </w:p>
        </w:tc>
        <w:tc>
          <w:tcPr>
            <w:tcW w:w="992" w:type="dxa"/>
            <w:tcBorders>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Tinta para demarcação viária, base de solvente de acordo com a norma abnt nbr 11862, na cor amarelo. Embalagem de no mínimo 18 litros.</w:t>
            </w:r>
          </w:p>
        </w:tc>
        <w:tc>
          <w:tcPr>
            <w:tcW w:w="992"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338,97</w:t>
            </w:r>
          </w:p>
        </w:tc>
        <w:tc>
          <w:tcPr>
            <w:tcW w:w="1417"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50.845,50</w:t>
            </w:r>
          </w:p>
        </w:tc>
      </w:tr>
      <w:tr>
        <w:trPr>
          <w:trHeight w:val="567" w:hRule="atLeast"/>
        </w:trPr>
        <w:tc>
          <w:tcPr>
            <w:tcW w:w="688" w:type="dxa"/>
            <w:tcBorders>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w:t>
            </w:r>
          </w:p>
        </w:tc>
        <w:tc>
          <w:tcPr>
            <w:tcW w:w="578" w:type="dxa"/>
            <w:tcBorders>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150</w:t>
            </w:r>
          </w:p>
        </w:tc>
        <w:tc>
          <w:tcPr>
            <w:tcW w:w="992" w:type="dxa"/>
            <w:tcBorders>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Tinta para demarcação viária, base de solvente de acordo com a norma abnt nbr 11862, na cor branco. Embalagem de no mínimo 18 litros.</w:t>
            </w:r>
          </w:p>
        </w:tc>
        <w:tc>
          <w:tcPr>
            <w:tcW w:w="992"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370,13</w:t>
            </w:r>
          </w:p>
        </w:tc>
        <w:tc>
          <w:tcPr>
            <w:tcW w:w="1417" w:type="dxa"/>
            <w:tcBorders>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55.519,50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Tinta para demarcação viária, base de solvente de acordo com a norma abnt nbr 11862, na cor cinza. Embalagem de no mínimo 18 litros.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252,50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2.525,00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17</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premium de no mínimo 18 litros, cores claras diversas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296,92</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5.047,64</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02</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premium de no mínimo 18 litros, cores escuras diversas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272,58</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545,16</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premium de no mínimo 3,6 litros, cores claras diversas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104,75</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2.618,75</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24</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esmalte sintético de no mínimo 3,6 litros cores diversas conforme catálogo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127,19</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3.052,56</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05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a base de água galão de no mínimo 20 litros, cor vermelha</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500,00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2.500,00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05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a base de água galão de no mínimo 20 litros, cor verde</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500,00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2.500,00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semi brilho a base de água galão de no mínimo 20 litros, cor branco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500,00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10.000,00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econômica, lata de 18 litros, cor branca.</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119,89</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4.196,15</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40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Fosca Premium, lata de 18 litros, cor verde.</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247,54</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9.901,60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Acrílica Fosca Premium, lata de 18 litros, cor vermelho.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247,54</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2.475,40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Lata</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esmalte sintético de no mínimo 3,6 litros cor branco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125,08</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1.626,04</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54</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spray multiuso para uso interno e externo, frasco com no mínimo 360ml, cores diversas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19,00</w:t>
            </w:r>
          </w:p>
        </w:tc>
        <w:tc>
          <w:tcPr>
            <w:tcW w:w="1417" w:type="dxa"/>
            <w:tcBorders>
              <w:top w:val="single" w:sz="8" w:space="0" w:color="000000"/>
              <w:bottom w:val="single" w:sz="8" w:space="0" w:color="000000"/>
              <w:right w:val="single" w:sz="8" w:space="0" w:color="000000"/>
            </w:tcBorders>
          </w:tcPr>
          <w:p>
            <w:pPr>
              <w:pStyle w:val="Normal"/>
              <w:widowControl w:val="false"/>
              <w:suppressAutoHyphens w:val="false"/>
              <w:spacing w:lineRule="auto" w:line="240" w:before="0" w:after="160"/>
              <w:jc w:val="both"/>
              <w:rPr>
                <w:rFonts w:ascii="Arial" w:hAnsi="Arial"/>
                <w:sz w:val="21"/>
                <w:szCs w:val="21"/>
              </w:rPr>
            </w:pPr>
            <w:r>
              <w:rPr>
                <w:rFonts w:ascii="Arial" w:hAnsi="Arial"/>
                <w:sz w:val="21"/>
                <w:szCs w:val="21"/>
              </w:rPr>
              <w:t>1.026,00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color w:val="000000"/>
                <w:sz w:val="21"/>
                <w:szCs w:val="21"/>
              </w:rPr>
              <w:t>Tinta spray multiuso cores metálicas ou alta temperatura. Frasco com no mínimo 360ml.</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26,58</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1.329,00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75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Solvente 900ml</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16,33</w:t>
            </w:r>
          </w:p>
        </w:tc>
        <w:tc>
          <w:tcPr>
            <w:tcW w:w="1417" w:type="dxa"/>
            <w:tcBorders>
              <w:top w:val="single" w:sz="8" w:space="0" w:color="000000"/>
              <w:bottom w:val="single" w:sz="8" w:space="0" w:color="000000"/>
              <w:right w:val="single" w:sz="8" w:space="0" w:color="000000"/>
            </w:tcBorders>
          </w:tcPr>
          <w:p>
            <w:pPr>
              <w:pStyle w:val="Normal"/>
              <w:widowControl w:val="false"/>
              <w:suppressAutoHyphens w:val="false"/>
              <w:spacing w:lineRule="auto" w:line="240" w:before="0" w:after="160"/>
              <w:jc w:val="both"/>
              <w:rPr>
                <w:rFonts w:ascii="Arial" w:hAnsi="Arial"/>
                <w:sz w:val="21"/>
                <w:szCs w:val="21"/>
              </w:rPr>
            </w:pPr>
            <w:r>
              <w:rPr>
                <w:rFonts w:ascii="Arial" w:hAnsi="Arial"/>
                <w:sz w:val="21"/>
                <w:szCs w:val="21"/>
              </w:rPr>
              <w:t>1.224,75</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56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Massa corrida de 25kg</w:t>
            </w:r>
          </w:p>
        </w:tc>
        <w:tc>
          <w:tcPr>
            <w:tcW w:w="992" w:type="dxa"/>
            <w:tcBorders>
              <w:top w:val="single" w:sz="8" w:space="0" w:color="000000"/>
              <w:bottom w:val="single" w:sz="8" w:space="0" w:color="000000"/>
              <w:right w:val="single" w:sz="8" w:space="0" w:color="000000"/>
            </w:tcBorders>
          </w:tcPr>
          <w:p>
            <w:pPr>
              <w:pStyle w:val="Normal"/>
              <w:widowControl w:val="false"/>
              <w:numPr>
                <w:ilvl w:val="0"/>
                <w:numId w:val="1"/>
              </w:numPr>
              <w:tabs>
                <w:tab w:val="clear" w:pos="708"/>
                <w:tab w:val="left" w:pos="0" w:leader="none"/>
              </w:tabs>
              <w:spacing w:lineRule="auto" w:line="240" w:before="0" w:after="160"/>
              <w:jc w:val="both"/>
              <w:rPr>
                <w:rFonts w:ascii="Arial" w:hAnsi="Arial"/>
                <w:sz w:val="21"/>
                <w:szCs w:val="21"/>
              </w:rPr>
            </w:pPr>
            <w:r>
              <w:rPr>
                <w:rFonts w:ascii="Arial" w:hAnsi="Arial"/>
                <w:sz w:val="21"/>
                <w:szCs w:val="21"/>
              </w:rPr>
              <w:t>55,30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3.096,80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35</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Selador acrílico premium 18 litros</w:t>
            </w:r>
          </w:p>
        </w:tc>
        <w:tc>
          <w:tcPr>
            <w:tcW w:w="992" w:type="dxa"/>
            <w:tcBorders>
              <w:top w:val="single" w:sz="8" w:space="0" w:color="000000"/>
              <w:bottom w:val="single" w:sz="8" w:space="0" w:color="000000"/>
              <w:right w:val="single" w:sz="8" w:space="0" w:color="000000"/>
            </w:tcBorders>
          </w:tcPr>
          <w:p>
            <w:pPr>
              <w:pStyle w:val="Normal"/>
              <w:widowControl w:val="false"/>
              <w:numPr>
                <w:ilvl w:val="0"/>
                <w:numId w:val="1"/>
              </w:numPr>
              <w:tabs>
                <w:tab w:val="clear" w:pos="708"/>
                <w:tab w:val="left" w:pos="0" w:leader="none"/>
              </w:tabs>
              <w:spacing w:lineRule="auto" w:line="240" w:before="0" w:after="160"/>
              <w:jc w:val="both"/>
              <w:rPr>
                <w:rFonts w:ascii="Arial" w:hAnsi="Arial"/>
                <w:sz w:val="21"/>
                <w:szCs w:val="21"/>
              </w:rPr>
            </w:pPr>
            <w:r>
              <w:rPr>
                <w:rFonts w:ascii="Arial" w:hAnsi="Arial"/>
                <w:sz w:val="21"/>
                <w:szCs w:val="21"/>
              </w:rPr>
              <w:t>104,63</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3.662,05</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Textura acrílica premium 18 litros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111,95</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1.119,50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Fundo preparador de paredes de 18 litros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186,02</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2.418,26</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63</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Rolo de lã de 09 cm profissional com cabo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12,84</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808,92</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66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Rolo de lã de 15 cm profissional com cabo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9,40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620,40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66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Rolo de lã de 23 cm profissional com cabo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13,54</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893,64</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36</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Pincel para pintura de 3 polegadas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10,00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360,00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11</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Bandeja para pintura, plástico resistente com tamanho aproximado de 27x34cm</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8,70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95,70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27</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"Orientação e destino", em chapa galvanizada, com 1,25 mm de espessura, refletivas GTP tipo 1 prismático, tamanho 80 cm x 60 cm. Modelo conforme informação solicitado, auxiliar com de "Comunidades, km de distância e sentido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463,43</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23.171,50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28</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80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"Regulamentação", em chapa galvanizada, com 1,25mm de espessura, refletivas GTP tipo 1 prismático, redonda, tamanho 50 cm de diâmetro. Modelo conforme solicitado, como por exemplo R14, R19, etc</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265,39</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21.231,20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29</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80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"advertência", em chapa galvanizada, com 1,25 mm de espessura, refletivas GTP tipo 1 prismático, quadrada com uma das diagonais para cima, tamanho 50x50 cm. Modelo conforme solicitado, como por exemplo A1a, A1b etc</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277,75</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22.220,00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"indicação", em chapa galvanizada, com 1,25 mm de espessura, refletivas GTP tipo 1 prismático, tamanho 45x45 cm Modelo conforme solicitado.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429,36</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12.880,80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31</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"indicação", em chapa galvanizada, com 1,25 mm de espessura, refletivas GTP tipo 1 prismático, tamanho 50x50 cm Modelo conforme solicitado.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429,36</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12.880,80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32</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"indicação", em chapa galvanizada, com 1,25 mm de espessura, refletivas GTP tipo 1 prismático, tamanho 60x60 cm Modelo conforme solicitado.</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429,36</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12.880,80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33</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"Informação complementar às placas de regulamentação", em chapa galvanizada, com 1,25mm de espessura, refletivas GTP tipo 1 prismático, Modelo conforme solicitado, como por exemplo RI-1,RI-19, etc</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276,50</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8.295,00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34</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"Informação complementar às placas de Advertência ", em chapa galvanizada, com 1,25mm de espessura, refletivas GTP tipo 1 prismático, Modelo conforme solicitado, como por exemplo, AIC-1, AIC-2</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354,76</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10.642,80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35</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Placas de sinalização de trânsito do tipo "Educação", em chapa galvanizada, com 1,25 mm de espessura, refletivas GTP tipo 1 prismático, Modelo conforme solicitado, exemplo E-1, E-2, etc</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429,36</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12.880,80</w:t>
            </w:r>
          </w:p>
        </w:tc>
      </w:tr>
      <w:tr>
        <w:trPr>
          <w:trHeight w:val="567" w:hRule="atLeast"/>
        </w:trPr>
        <w:tc>
          <w:tcPr>
            <w:tcW w:w="688"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36</w:t>
            </w:r>
          </w:p>
        </w:tc>
        <w:tc>
          <w:tcPr>
            <w:tcW w:w="578" w:type="dxa"/>
            <w:tcBorders>
              <w:top w:val="single" w:sz="8" w:space="0" w:color="000000"/>
              <w:bottom w:val="single" w:sz="8" w:space="0" w:color="000000"/>
              <w:right w:val="single" w:sz="8" w:space="0" w:color="000000"/>
            </w:tcBorders>
          </w:tcPr>
          <w:p>
            <w:pPr>
              <w:pStyle w:val="Normal"/>
              <w:widowControl w:val="false"/>
              <w:spacing w:lineRule="auto" w:line="240" w:before="0" w:after="160"/>
              <w:jc w:val="center"/>
              <w:rPr>
                <w:rFonts w:ascii="Arial" w:hAnsi="Arial"/>
                <w:sz w:val="21"/>
                <w:szCs w:val="21"/>
              </w:rPr>
            </w:pPr>
            <w:r>
              <w:rPr>
                <w:rFonts w:ascii="Arial" w:hAnsi="Arial"/>
                <w:sz w:val="21"/>
                <w:szCs w:val="21"/>
              </w:rPr>
              <w:t>150</w:t>
            </w:r>
          </w:p>
        </w:tc>
        <w:tc>
          <w:tcPr>
            <w:tcW w:w="992" w:type="dxa"/>
            <w:tcBorders>
              <w:top w:val="single" w:sz="8" w:space="0" w:color="000000"/>
              <w:bottom w:val="single" w:sz="8" w:space="0" w:color="000000"/>
              <w:right w:val="single" w:sz="8" w:space="0" w:color="000000"/>
            </w:tcBorders>
          </w:tcPr>
          <w:p>
            <w:pPr>
              <w:pStyle w:val="Normal"/>
              <w:widowControl w:val="false"/>
              <w:snapToGrid w:val="false"/>
              <w:spacing w:lineRule="auto" w:line="240" w:before="0" w:after="160"/>
              <w:jc w:val="center"/>
              <w:rPr>
                <w:rFonts w:ascii="Arial" w:hAnsi="Arial"/>
                <w:sz w:val="21"/>
                <w:szCs w:val="21"/>
              </w:rPr>
            </w:pPr>
            <w:r>
              <w:rPr>
                <w:rFonts w:ascii="Arial" w:hAnsi="Arial"/>
                <w:sz w:val="21"/>
                <w:szCs w:val="21"/>
              </w:rPr>
              <w:t>Un</w:t>
            </w:r>
          </w:p>
        </w:tc>
        <w:tc>
          <w:tcPr>
            <w:tcW w:w="4961"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eastAsia="ArialMT;Times New Roman" w:ascii="Arial" w:hAnsi="Arial"/>
                <w:sz w:val="21"/>
                <w:szCs w:val="21"/>
              </w:rPr>
              <w:t>Tubo galvanizado de 3 metros de comprimento, diâmetro de 50,00 mm, espessura de 2 mm, com tampa de plástico rígido em uma das extremidades.</w:t>
            </w:r>
          </w:p>
        </w:tc>
        <w:tc>
          <w:tcPr>
            <w:tcW w:w="992"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222,94</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33.441,00</w:t>
            </w:r>
          </w:p>
        </w:tc>
      </w:tr>
      <w:tr>
        <w:trPr>
          <w:trHeight w:val="567" w:hRule="atLeast"/>
        </w:trPr>
        <w:tc>
          <w:tcPr>
            <w:tcW w:w="8211" w:type="dxa"/>
            <w:gridSpan w:val="5"/>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240" w:before="0" w:after="160"/>
              <w:jc w:val="center"/>
              <w:rPr>
                <w:rFonts w:ascii="Arial" w:hAnsi="Arial"/>
                <w:sz w:val="21"/>
                <w:szCs w:val="21"/>
              </w:rPr>
            </w:pPr>
            <w:r>
              <w:rPr>
                <w:rFonts w:ascii="Arial" w:hAnsi="Arial"/>
                <w:b/>
                <w:bCs/>
                <w:sz w:val="21"/>
                <w:szCs w:val="21"/>
              </w:rPr>
              <w:t>VALOR TOTAL</w:t>
            </w:r>
          </w:p>
        </w:tc>
        <w:tc>
          <w:tcPr>
            <w:tcW w:w="1417" w:type="dxa"/>
            <w:tcBorders>
              <w:top w:val="single" w:sz="8" w:space="0" w:color="000000"/>
              <w:bottom w:val="single" w:sz="8" w:space="0" w:color="000000"/>
              <w:right w:val="single" w:sz="8" w:space="0" w:color="000000"/>
            </w:tcBorders>
          </w:tcPr>
          <w:p>
            <w:pPr>
              <w:pStyle w:val="Normal"/>
              <w:widowControl w:val="false"/>
              <w:spacing w:lineRule="auto" w:line="240" w:before="0" w:after="160"/>
              <w:jc w:val="both"/>
              <w:rPr>
                <w:rFonts w:ascii="Arial" w:hAnsi="Arial"/>
                <w:sz w:val="21"/>
                <w:szCs w:val="21"/>
              </w:rPr>
            </w:pPr>
            <w:r>
              <w:rPr>
                <w:rFonts w:ascii="Arial" w:hAnsi="Arial"/>
                <w:sz w:val="21"/>
                <w:szCs w:val="21"/>
              </w:rPr>
              <w:t>340.533,02</w:t>
            </w:r>
          </w:p>
        </w:tc>
      </w:tr>
    </w:tbl>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eastAsia="Times New Roman" w:ascii="Arial" w:hAnsi="Arial"/>
          <w:color w:val="000000"/>
          <w:sz w:val="21"/>
          <w:szCs w:val="21"/>
          <w:lang w:eastAsia="pt-BR"/>
        </w:rPr>
        <w:t xml:space="preserve">Para cada item, o valor unitário encontrado foi multiplicado pela sua </w:t>
      </w:r>
      <w:r>
        <w:rPr>
          <w:rFonts w:ascii="Arial" w:hAnsi="Arial"/>
          <w:color w:val="000000"/>
          <w:sz w:val="21"/>
          <w:szCs w:val="21"/>
        </w:rPr>
        <w:t>respectiva quantidade, resultando no valor total para cada item. A soma do valor total de todos os itens corresponde à R$ 340.533,02 (trezentos e quarenta mil quinhentos e trinta e três reais e dois centavos).</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ADEQUAÇÃO ORÇAMENTÁRIA</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As despesas decorrentes das aquisições, objeto do presente certame, correrão à conta de dotação específica dos orçamentos de cada Órgão Participante referente ao exercício de 2024 e seguintes, </w:t>
      </w:r>
      <w:r>
        <w:rPr>
          <w:rFonts w:ascii="Arial" w:hAnsi="Arial"/>
          <w:sz w:val="21"/>
          <w:szCs w:val="21"/>
        </w:rPr>
        <w:t>com a seguinte classificação e valores, conforme demonstrativo acostado em anexo a este Termo de Referência e colacionado abaixo:</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03.001 SECRETARIA MUNICIPAL DE ADMINISTRAÇÃO E FINANÇAS</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 xml:space="preserve">2.003 </w:t>
      </w:r>
      <w:r>
        <w:rPr>
          <w:rFonts w:ascii="Arial" w:hAnsi="Arial"/>
          <w:bCs/>
          <w:sz w:val="21"/>
          <w:szCs w:val="21"/>
        </w:rPr>
        <w:t>MANUTENÇÃO DA SECRETARIA MUNICIPAL DE ADMINISTRAÇÃO E FINANÇAS</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13</w:t>
      </w:r>
      <w:r>
        <w:rPr>
          <w:rFonts w:ascii="Arial" w:hAnsi="Arial"/>
          <w:bCs/>
          <w:sz w:val="21"/>
          <w:szCs w:val="21"/>
        </w:rPr>
        <w:t xml:space="preserve"> 3.3.90.00.00.00. Aplicações Diretas  2.502.0000.0104  Compensação ICMS R$ 9.096,94</w:t>
      </w:r>
    </w:p>
    <w:p>
      <w:pPr>
        <w:pStyle w:val="Normal"/>
        <w:tabs>
          <w:tab w:val="clear" w:pos="708"/>
          <w:tab w:val="left" w:pos="2340" w:leader="none"/>
          <w:tab w:val="left" w:pos="4464" w:leader="none"/>
        </w:tabs>
        <w:spacing w:lineRule="auto" w:line="240"/>
        <w:jc w:val="both"/>
        <w:rPr>
          <w:rFonts w:ascii="Arial" w:hAnsi="Arial"/>
          <w:b/>
          <w:b/>
          <w:sz w:val="21"/>
          <w:szCs w:val="21"/>
        </w:rPr>
      </w:pPr>
      <w:r>
        <w:rPr>
          <w:rFonts w:ascii="Arial" w:hAnsi="Arial"/>
          <w:b/>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06.001 SECRETARIA MUN. DE INFRAESTRUTURA E TRANSPORTES/DIRETORIA DE URBANISMO</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2.006</w:t>
      </w:r>
      <w:r>
        <w:rPr>
          <w:rFonts w:ascii="Arial" w:hAnsi="Arial"/>
          <w:bCs/>
          <w:sz w:val="21"/>
          <w:szCs w:val="21"/>
        </w:rPr>
        <w:t xml:space="preserve"> – DIRETORIA DE URBANISMO</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77</w:t>
      </w:r>
      <w:r>
        <w:rPr>
          <w:rFonts w:ascii="Arial" w:hAnsi="Arial"/>
          <w:bCs/>
          <w:sz w:val="21"/>
          <w:szCs w:val="21"/>
        </w:rPr>
        <w:t xml:space="preserve"> 3.3.90.00.00.00.00.00 Aplicações Diretas 1.500.0000.0104 recursos ordinários R$ 297.246,30</w:t>
      </w:r>
    </w:p>
    <w:p>
      <w:pPr>
        <w:pStyle w:val="Normal"/>
        <w:tabs>
          <w:tab w:val="clear" w:pos="708"/>
          <w:tab w:val="left" w:pos="2340" w:leader="none"/>
          <w:tab w:val="left" w:pos="4464" w:leader="none"/>
        </w:tabs>
        <w:spacing w:lineRule="auto" w:line="240"/>
        <w:jc w:val="both"/>
        <w:rPr>
          <w:rFonts w:ascii="Arial" w:hAnsi="Arial"/>
          <w:b/>
          <w:b/>
          <w:bCs/>
          <w:sz w:val="21"/>
          <w:szCs w:val="21"/>
        </w:rPr>
      </w:pPr>
      <w:r>
        <w:rPr>
          <w:rFonts w:ascii="Arial" w:hAnsi="Arial"/>
          <w:b/>
          <w:bCs/>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06.002 SECRETARIA MUN. DE INFRAESTRUTURA E TRANSPORTES/DIRETORIA DE INFRAESTRUTURA E TRANSPORTE</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2.005</w:t>
      </w:r>
      <w:r>
        <w:rPr>
          <w:rFonts w:ascii="Arial" w:hAnsi="Arial"/>
          <w:bCs/>
          <w:sz w:val="21"/>
          <w:szCs w:val="21"/>
        </w:rPr>
        <w:t xml:space="preserve"> – MANUTENÇÃO DA DIRETORIA DE INFRAESTRUTURA</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87</w:t>
      </w:r>
      <w:r>
        <w:rPr>
          <w:rFonts w:ascii="Arial" w:hAnsi="Arial"/>
          <w:bCs/>
          <w:sz w:val="21"/>
          <w:szCs w:val="21"/>
        </w:rPr>
        <w:t xml:space="preserve"> 3.3.90.00.00.00.00.00 Aplicações Diretas 1.500.0000.0104 recursos ordinários R$ 2.279,00</w:t>
      </w:r>
    </w:p>
    <w:p>
      <w:pPr>
        <w:pStyle w:val="Normal"/>
        <w:tabs>
          <w:tab w:val="clear" w:pos="708"/>
          <w:tab w:val="left" w:pos="2340" w:leader="none"/>
          <w:tab w:val="left" w:pos="4464" w:leader="none"/>
        </w:tabs>
        <w:spacing w:lineRule="auto" w:line="24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 xml:space="preserve">05.004 - SECRETARIA MUN. DE ASSISTÊNCIA SOCIAL E HABITAÇÃO / FUNDO MUNICIPAL DE HABITAÇÃO DE INTERESSE SOCIAL </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2.036</w:t>
      </w:r>
      <w:r>
        <w:rPr>
          <w:rFonts w:ascii="Arial" w:hAnsi="Arial"/>
          <w:bCs/>
          <w:sz w:val="21"/>
          <w:szCs w:val="21"/>
        </w:rPr>
        <w:t xml:space="preserve"> – HABITAÇÃO URBANA E RURAL – FR</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70</w:t>
      </w:r>
      <w:r>
        <w:rPr>
          <w:rFonts w:ascii="Arial" w:hAnsi="Arial"/>
          <w:bCs/>
          <w:sz w:val="21"/>
          <w:szCs w:val="21"/>
        </w:rPr>
        <w:t xml:space="preserve"> 3.3.90.00.00.00.00.00 - APLICACOES DIRETAS 1.500.0000.0104 - RECURSOS ORDINÁRIOS R$ 4.049,61</w:t>
      </w:r>
    </w:p>
    <w:p>
      <w:pPr>
        <w:pStyle w:val="Normal"/>
        <w:tabs>
          <w:tab w:val="clear" w:pos="708"/>
          <w:tab w:val="left" w:pos="2340" w:leader="none"/>
          <w:tab w:val="left" w:pos="4464" w:leader="none"/>
        </w:tabs>
        <w:spacing w:lineRule="auto" w:line="24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05.006 SECRETARIA MUNICIPAL DE ASSISTÊNCIA SOCIAL E HABITAÇÃO / FUNDO MUNICIPAL DE ASSISTÊNCIA SOCIAL</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2.024</w:t>
      </w:r>
      <w:r>
        <w:rPr>
          <w:rFonts w:ascii="Arial" w:hAnsi="Arial"/>
          <w:bCs/>
          <w:sz w:val="21"/>
          <w:szCs w:val="21"/>
        </w:rPr>
        <w:t xml:space="preserve"> – MANUTENÇÃO DA OFERTA DA PROTEÇÃO SOCIAL BÁSICA</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sz w:val="21"/>
          <w:szCs w:val="21"/>
        </w:rPr>
        <w:t>64</w:t>
      </w:r>
      <w:r>
        <w:rPr>
          <w:rFonts w:ascii="Arial" w:hAnsi="Arial"/>
          <w:bCs/>
          <w:sz w:val="21"/>
          <w:szCs w:val="21"/>
        </w:rPr>
        <w:t xml:space="preserve"> 3.3.90.00.00.00.00.00 - Aplicações Diretas 1.500.0000.0104 - Recursos Ordinários R$ 610,92</w:t>
      </w:r>
    </w:p>
    <w:p>
      <w:pPr>
        <w:pStyle w:val="Normal"/>
        <w:tabs>
          <w:tab w:val="clear" w:pos="708"/>
          <w:tab w:val="left" w:pos="2340" w:leader="none"/>
          <w:tab w:val="left" w:pos="4464" w:leader="none"/>
        </w:tabs>
        <w:spacing w:lineRule="auto" w:line="240"/>
        <w:jc w:val="both"/>
        <w:rPr>
          <w:rFonts w:ascii="Arial" w:hAnsi="Arial"/>
          <w:bCs/>
          <w:sz w:val="21"/>
          <w:szCs w:val="21"/>
        </w:rPr>
      </w:pPr>
      <w:r>
        <w:rPr>
          <w:rFonts w:ascii="Arial" w:hAnsi="Arial"/>
          <w:bCs/>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15.001 DIRETORIA DE ESPORTES/DIRETORIA DE ESPORTES</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2.019</w:t>
      </w:r>
      <w:r>
        <w:rPr>
          <w:rFonts w:ascii="Arial" w:hAnsi="Arial"/>
          <w:sz w:val="21"/>
          <w:szCs w:val="21"/>
        </w:rPr>
        <w:t xml:space="preserve"> – MANUTENÇÃO DAS ATIVIDADES ESPORTIVAS E RECREATIVAS</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118</w:t>
      </w:r>
      <w:r>
        <w:rPr>
          <w:rFonts w:ascii="Arial" w:hAnsi="Arial"/>
          <w:sz w:val="21"/>
          <w:szCs w:val="21"/>
        </w:rPr>
        <w:t xml:space="preserve"> 3.3.90.00.00.00.00.00 – Aplicações Diretas  1.500.0000.0104 – Recursos Ordinários </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sz w:val="21"/>
          <w:szCs w:val="21"/>
        </w:rPr>
        <w:t>R$ 16.573,15</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80.001 SERVIÇOS DE UTILIDADE PÚBLICA / SERVIÇOS DE UTILIDADE PÚBLICA</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2.044</w:t>
      </w:r>
      <w:r>
        <w:rPr>
          <w:rFonts w:ascii="Arial" w:hAnsi="Arial"/>
          <w:sz w:val="21"/>
          <w:szCs w:val="21"/>
        </w:rPr>
        <w:t xml:space="preserve"> – SEGURANÇA PÚBLICA</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 xml:space="preserve">129  </w:t>
      </w:r>
      <w:r>
        <w:rPr>
          <w:rFonts w:ascii="Arial" w:hAnsi="Arial"/>
          <w:sz w:val="21"/>
          <w:szCs w:val="21"/>
        </w:rPr>
        <w:t>3.3.90.00.00.00 Aplicações Diretas   1.752.7004.0054 Convênio Trânsito Militar R$ 1.220,65</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 xml:space="preserve">129  </w:t>
      </w:r>
      <w:r>
        <w:rPr>
          <w:rFonts w:ascii="Arial" w:hAnsi="Arial"/>
          <w:sz w:val="21"/>
          <w:szCs w:val="21"/>
        </w:rPr>
        <w:t>3.3.90.00.00.00 Aplicações Diretas   1.752.7005.0055 Convênio Trânsito Civil R$ 1.907,85</w:t>
      </w:r>
    </w:p>
    <w:p>
      <w:pPr>
        <w:pStyle w:val="Normal"/>
        <w:tabs>
          <w:tab w:val="clear" w:pos="708"/>
          <w:tab w:val="left" w:pos="2340" w:leader="none"/>
          <w:tab w:val="left" w:pos="4464" w:leader="none"/>
        </w:tabs>
        <w:spacing w:lineRule="auto" w:line="240"/>
        <w:jc w:val="both"/>
        <w:rPr>
          <w:rFonts w:ascii="Arial" w:hAnsi="Arial"/>
          <w:b/>
          <w:b/>
          <w:bCs/>
          <w:sz w:val="21"/>
          <w:szCs w:val="21"/>
        </w:rPr>
      </w:pPr>
      <w:r>
        <w:rPr>
          <w:rFonts w:ascii="Arial" w:hAnsi="Arial"/>
          <w:b/>
          <w:bCs/>
          <w:sz w:val="21"/>
          <w:szCs w:val="21"/>
        </w:rPr>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10.001 FUNDO MUNICIPAL DE SAÚDE LINDOIA DO SUL / FUNDO MUNICIPAL DE SAÚDE LINDOIA DO SUL</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2.028</w:t>
      </w:r>
      <w:r>
        <w:rPr>
          <w:rFonts w:ascii="Arial" w:hAnsi="Arial"/>
          <w:sz w:val="21"/>
          <w:szCs w:val="21"/>
        </w:rPr>
        <w:t xml:space="preserve"> – MANUTENÇÃO DAS ATIVIDADES DA SAÚDE PÚBLICA</w:t>
      </w:r>
    </w:p>
    <w:p>
      <w:pPr>
        <w:pStyle w:val="Normal"/>
        <w:tabs>
          <w:tab w:val="clear" w:pos="708"/>
          <w:tab w:val="left" w:pos="2340" w:leader="none"/>
          <w:tab w:val="left" w:pos="4464" w:leader="none"/>
        </w:tabs>
        <w:spacing w:lineRule="auto" w:line="240"/>
        <w:jc w:val="both"/>
        <w:rPr>
          <w:rFonts w:ascii="Arial" w:hAnsi="Arial"/>
          <w:sz w:val="21"/>
          <w:szCs w:val="21"/>
        </w:rPr>
      </w:pPr>
      <w:r>
        <w:rPr>
          <w:rFonts w:ascii="Arial" w:hAnsi="Arial"/>
          <w:b/>
          <w:bCs/>
          <w:sz w:val="21"/>
          <w:szCs w:val="21"/>
        </w:rPr>
        <w:t>14</w:t>
      </w:r>
      <w:r>
        <w:rPr>
          <w:rFonts w:ascii="Arial" w:hAnsi="Arial"/>
          <w:sz w:val="21"/>
          <w:szCs w:val="21"/>
        </w:rPr>
        <w:t xml:space="preserve"> 3.3.90.00.00.00.00.00 Aplicações Diretas 1.500.1002.0002 – Receitas Imp. e Transf. De Impostos – Saúde. R$ 7.548,60</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FORMA E CRITÉRIOS DE SELEÇÃO DO FORNECEDOR</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Através da licitação a ser realizada na modalidade pregão, na forma eletrônica, e auxiliada pelo Sistema de Registro de Preços, devidamente regulamentado pelo decreto municipal, será selecionado como fornecedor de cada item, aquele que apresentar proposta de MENOR PREÇO, JULGAMENTO POR ITEM, não podendo o valor unitário de cada item ser superior ao seu valor de referência, modo de disputa ABERTO, nos termos do art. 6º, inciso XLI, e do art. 34, ambos da Lei Federal n. 14.133/2021, desde que atendidas às exigências e disposições dos descritivos, deste Termo de Referência e do Edital a ser publicado.</w:t>
      </w:r>
    </w:p>
    <w:p>
      <w:pPr>
        <w:pStyle w:val="ListParagraph"/>
        <w:numPr>
          <w:ilvl w:val="1"/>
          <w:numId w:val="2"/>
        </w:numPr>
        <w:tabs>
          <w:tab w:val="clear" w:pos="708"/>
          <w:tab w:val="left" w:pos="0" w:leader="none"/>
          <w:tab w:val="left" w:pos="2340" w:leader="none"/>
          <w:tab w:val="left" w:pos="4464" w:leader="none"/>
        </w:tabs>
        <w:spacing w:lineRule="auto" w:line="360" w:before="140" w:after="140"/>
        <w:contextualSpacing/>
        <w:jc w:val="both"/>
        <w:rPr>
          <w:rFonts w:ascii="Arial" w:hAnsi="Arial"/>
          <w:sz w:val="21"/>
          <w:szCs w:val="21"/>
        </w:rPr>
      </w:pPr>
      <w:r>
        <w:rPr>
          <w:rFonts w:ascii="Arial" w:hAnsi="Arial"/>
          <w:b/>
          <w:bCs/>
          <w:sz w:val="21"/>
          <w:szCs w:val="21"/>
        </w:rPr>
        <w:t>EXIGÊNCIA DE AMOSTRAS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sz w:val="21"/>
          <w:szCs w:val="21"/>
        </w:rPr>
        <w:t>Não se aplica.</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TRATAMENTO DIFERENCIADO PARA MICRO E PEQUENA EMPRESA</w:t>
      </w:r>
    </w:p>
    <w:p>
      <w:pPr>
        <w:pStyle w:val="Normal"/>
        <w:tabs>
          <w:tab w:val="clear" w:pos="708"/>
          <w:tab w:val="left" w:pos="2340" w:leader="none"/>
          <w:tab w:val="left" w:pos="4464" w:leader="none"/>
        </w:tabs>
        <w:spacing w:lineRule="auto" w:line="360"/>
        <w:ind w:firstLine="709"/>
        <w:jc w:val="both"/>
        <w:rPr>
          <w:rFonts w:ascii="Arial" w:hAnsi="Arial"/>
          <w:sz w:val="21"/>
          <w:szCs w:val="21"/>
        </w:rPr>
      </w:pPr>
      <w:r>
        <w:rPr>
          <w:rFonts w:eastAsia="Lucida Sans Unicode" w:ascii="Arial" w:hAnsi="Arial"/>
          <w:bCs/>
          <w:color w:val="000000"/>
          <w:sz w:val="21"/>
          <w:szCs w:val="21"/>
          <w:lang w:eastAsia="pt-BR"/>
        </w:rPr>
        <w:t>Este processo licitatório é destinado exclusivamente aos interessados qualificados como microempresa ou empresa de pequeno porte, aptas a se beneficiarem do tratamento diferenciado e favorecido estabelecido pela Lei Complementar n° 123/2006 e suas alterações, desde que não se enquadrem em quaisquer das exclusões relacionadas no § 4º do artigo 3º desta Lei.</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MODELO DE EXECUÇÃO DO OBJETO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Conforme disposto no </w:t>
      </w:r>
      <w:r>
        <w:rPr>
          <w:rFonts w:ascii="Arial" w:hAnsi="Arial"/>
          <w:sz w:val="21"/>
          <w:szCs w:val="21"/>
        </w:rPr>
        <w:t>art. 84, parágrafo único, da Lei Federal n. 14.133/2021</w:t>
      </w:r>
      <w:r>
        <w:rPr>
          <w:rFonts w:ascii="Arial" w:hAnsi="Arial"/>
          <w:bCs/>
          <w:sz w:val="21"/>
          <w:szCs w:val="21"/>
        </w:rPr>
        <w:t xml:space="preserve">, o contrato decorrente do Sistema de Registro de Preços deverá ser assinado no prazo de vigência da ata de registro de preços </w:t>
      </w:r>
      <w:r>
        <w:rPr>
          <w:rFonts w:ascii="Arial" w:hAnsi="Arial"/>
          <w:sz w:val="21"/>
          <w:szCs w:val="21"/>
        </w:rPr>
        <w:t>e terá sua vigência estabelecida em conformidade com as disposições nela contidas.</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A contratação do item, com fornecimento parcelado, será efetuada conforme a necessidade de cada Órgão Participante, não lhe sendo gerado, pela existência de preços registrados, a obrigação de contratar, nos termos do art. 83 da Lei Federal n. 14.133/2021.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A contratação com os fornecedores registrados será formalizada pelo Órgão Participante por intermédio de emissão de nota de empenho de despesa e autorização de fornecimento de compra.</w:t>
      </w:r>
    </w:p>
    <w:p>
      <w:pPr>
        <w:pStyle w:val="ListParagraph"/>
        <w:numPr>
          <w:ilvl w:val="1"/>
          <w:numId w:val="2"/>
        </w:numPr>
        <w:tabs>
          <w:tab w:val="clear" w:pos="708"/>
          <w:tab w:val="left" w:pos="0" w:leader="none"/>
          <w:tab w:val="left" w:pos="2340" w:leader="none"/>
          <w:tab w:val="left" w:pos="4464" w:leader="none"/>
        </w:tabs>
        <w:spacing w:lineRule="auto" w:line="360" w:before="140" w:after="140"/>
        <w:contextualSpacing/>
        <w:jc w:val="both"/>
        <w:rPr>
          <w:rFonts w:ascii="Arial" w:hAnsi="Arial"/>
          <w:sz w:val="21"/>
          <w:szCs w:val="21"/>
        </w:rPr>
      </w:pPr>
      <w:r>
        <w:rPr>
          <w:rFonts w:ascii="Arial" w:hAnsi="Arial"/>
          <w:b/>
          <w:sz w:val="21"/>
          <w:szCs w:val="21"/>
        </w:rPr>
        <w:t>ENTREGA DO OBJETO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Os itens contratados deverão ser entregues no prazo máximo de 15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sz w:val="21"/>
          <w:szCs w:val="21"/>
        </w:rPr>
        <w:t>Os itens deverão ser entregues conforme solicitados na Diretoria de Urbanismo, localizada na Rua 29 de Julho, Centro, ou na sede da prefeitura, sito Rua Tamandaré, 98, centro, de Segunda a Sexta feira das 08:00 as 11:30 horas e das 13:30 as 17:00 horas.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Tratando-se de demanda história, o prazo supracitado fora determinado com base naquele utilizado no processo licitatório realizado anteriormente para atendimento da mesma demanda. Assim, em razão da regularidade na realização da ampla maioria das entregas, da compatibilidade com as condições usualmente verificáveis no mercado e do atendimento às necessidades dos órgãos e entidades do município, verificou-se a adequabilidade em manter-se o prazo anteriormente utilizado.</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Todas as despesas relacionadas com as entregas em cada órgão participante ocorrerão por conta do fornecedor, sob o qual ficará a total responsabilidade de realizar o transporte adequado e manter em perfeitas condições de armazenamento todos os itens a serem entregues, garantindo a sua total eficiência e qualidade.</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Os recebimentos provisório e definitivo ficarão a cargo do órgão participante, em conformidade com o disposto no art. 140 da Lei Federal n. 14.133/2021. O objeto do contrato será recebido provisoriamente, de forma sumária, pelo responsável por seu acompanhamento e fiscalização no órgão participante, com verificação posterior da conformidade do material com as exigências contratuais e definitivamente por servidor ou comissão designada por autoridade competente do órgão participante. O objeto do contrato poderá ser rejeitado, no todo ou em parte, quando estiver em desacordo com as disposições do contrato, do Edital, do Termo de Referência e dos descritivos do item.</w:t>
      </w:r>
    </w:p>
    <w:p>
      <w:pPr>
        <w:pStyle w:val="ListParagraph"/>
        <w:numPr>
          <w:ilvl w:val="1"/>
          <w:numId w:val="2"/>
        </w:numPr>
        <w:tabs>
          <w:tab w:val="clear" w:pos="708"/>
          <w:tab w:val="left" w:pos="0" w:leader="none"/>
          <w:tab w:val="left" w:pos="2340" w:leader="none"/>
          <w:tab w:val="left" w:pos="4464" w:leader="none"/>
        </w:tabs>
        <w:spacing w:lineRule="auto" w:line="360" w:before="140" w:after="140"/>
        <w:contextualSpacing/>
        <w:jc w:val="both"/>
        <w:rPr>
          <w:rFonts w:ascii="Arial" w:hAnsi="Arial"/>
          <w:sz w:val="21"/>
          <w:szCs w:val="21"/>
        </w:rPr>
      </w:pPr>
      <w:r>
        <w:rPr>
          <w:rFonts w:ascii="Arial" w:hAnsi="Arial"/>
          <w:b/>
          <w:sz w:val="21"/>
          <w:szCs w:val="21"/>
        </w:rPr>
        <w:t>GARANTIA DO OBJETO</w:t>
      </w:r>
    </w:p>
    <w:p>
      <w:pPr>
        <w:pStyle w:val="Normal"/>
        <w:spacing w:lineRule="auto" w:line="360" w:before="142" w:after="142"/>
        <w:ind w:firstLine="709"/>
        <w:jc w:val="both"/>
        <w:rPr>
          <w:rFonts w:ascii="Arial" w:hAnsi="Arial"/>
          <w:sz w:val="21"/>
          <w:szCs w:val="21"/>
        </w:rPr>
      </w:pPr>
      <w:r>
        <w:rPr>
          <w:rFonts w:ascii="Arial" w:hAnsi="Arial"/>
          <w:sz w:val="21"/>
          <w:szCs w:val="21"/>
        </w:rPr>
        <w:t xml:space="preserve">Não serão exigidas garantias, por se tratar de bens comuns. Os produtos objeto desta licitação deverão ter validade mínima de 12 (doze) meses a contar da data do recebimento definitivo, ou prazo superior fixado pelo fabricante. </w:t>
      </w:r>
    </w:p>
    <w:p>
      <w:pPr>
        <w:pStyle w:val="Normal"/>
        <w:spacing w:lineRule="auto" w:line="360" w:before="142" w:after="142"/>
        <w:ind w:firstLine="709"/>
        <w:jc w:val="both"/>
        <w:rPr>
          <w:rFonts w:ascii="Arial" w:hAnsi="Arial"/>
          <w:sz w:val="21"/>
          <w:szCs w:val="21"/>
        </w:rPr>
      </w:pPr>
      <w:r>
        <w:rPr>
          <w:rFonts w:ascii="Arial" w:hAnsi="Arial"/>
          <w:sz w:val="21"/>
          <w:szCs w:val="21"/>
        </w:rPr>
        <w:t xml:space="preserve">Os produtos que apresentarem vício ou defeito no momento do uso deverão ser substituídos por outros novos, de primeiro uso, e originais, que apresentem padrões de qualidade e desempenho iguais ou superiores aos produtos utilizados; </w:t>
      </w:r>
    </w:p>
    <w:p>
      <w:pPr>
        <w:pStyle w:val="Normal"/>
        <w:spacing w:lineRule="auto" w:line="360" w:before="142" w:after="142"/>
        <w:ind w:firstLine="709"/>
        <w:jc w:val="both"/>
        <w:rPr>
          <w:rFonts w:ascii="Arial" w:hAnsi="Arial"/>
          <w:sz w:val="21"/>
          <w:szCs w:val="21"/>
        </w:rPr>
      </w:pPr>
      <w:r>
        <w:rPr>
          <w:rFonts w:ascii="Arial" w:hAnsi="Arial"/>
          <w:sz w:val="21"/>
          <w:szCs w:val="21"/>
        </w:rPr>
        <w:t xml:space="preserve">Uma vez notificada, a Contratada realizará a substituição dos bens que apresentarem vício ou defeito no prazo de até 03 (três) dias úteis, contados a partir da data de retirada do item/produto por funcionários do órgão designado; </w:t>
      </w:r>
    </w:p>
    <w:p>
      <w:pPr>
        <w:pStyle w:val="Normal"/>
        <w:spacing w:lineRule="auto" w:line="360" w:before="142" w:after="142"/>
        <w:ind w:firstLine="709"/>
        <w:jc w:val="both"/>
        <w:rPr>
          <w:rFonts w:ascii="Arial" w:hAnsi="Arial"/>
          <w:sz w:val="21"/>
          <w:szCs w:val="21"/>
        </w:rPr>
      </w:pPr>
      <w:r>
        <w:rPr>
          <w:rFonts w:ascii="Arial" w:hAnsi="Arial"/>
          <w:sz w:val="21"/>
          <w:szCs w:val="21"/>
        </w:rPr>
        <w:t xml:space="preserve">O prazo indicado no subitem anterior, durante seu transcurso, poderá ser prorrogado uma única vez, por igual período, mediante solicitação escrita e justificada da contratada e aceita pela Contratante; </w:t>
      </w:r>
    </w:p>
    <w:p>
      <w:pPr>
        <w:pStyle w:val="Normal"/>
        <w:spacing w:lineRule="auto" w:line="360" w:before="142" w:after="142"/>
        <w:ind w:firstLine="709"/>
        <w:jc w:val="both"/>
        <w:rPr>
          <w:rFonts w:ascii="Arial" w:hAnsi="Arial"/>
          <w:sz w:val="21"/>
          <w:szCs w:val="21"/>
        </w:rPr>
      </w:pPr>
      <w:r>
        <w:rPr>
          <w:rFonts w:ascii="Arial" w:hAnsi="Arial"/>
          <w:sz w:val="21"/>
          <w:szCs w:val="21"/>
        </w:rPr>
        <w:t xml:space="preserve">Na hipótese do subitem acima, a Contratada deverá disponibilizar material equivalente, de especificação igual ou superior ao anteriormente fornecido, para utilização em caráter provisório pelo Contratante, de modo a garantir a continuidade dos trabalhos durante a execução dos serviços; </w:t>
      </w:r>
    </w:p>
    <w:p>
      <w:pPr>
        <w:pStyle w:val="Normal"/>
        <w:spacing w:lineRule="auto" w:line="360" w:before="142" w:after="142"/>
        <w:ind w:firstLine="709"/>
        <w:jc w:val="both"/>
        <w:rPr>
          <w:rFonts w:ascii="Arial" w:hAnsi="Arial"/>
          <w:sz w:val="21"/>
          <w:szCs w:val="21"/>
        </w:rPr>
      </w:pPr>
      <w:r>
        <w:rPr>
          <w:rFonts w:ascii="Arial" w:hAnsi="Arial"/>
          <w:sz w:val="21"/>
          <w:szCs w:val="21"/>
        </w:rPr>
        <w:t>Decorrido o prazo para substituições sem o atendimento da solicitação do Contratante ou a apresentação de justificativas pela Contratada, fica o Contratante autorizado a contratar empresa diversa para executar a substituição do item/produto, bem como a exigir da Contratada o reembolso pelos custos respectivos;</w:t>
      </w:r>
    </w:p>
    <w:p>
      <w:pPr>
        <w:pStyle w:val="Normal"/>
        <w:tabs>
          <w:tab w:val="clear" w:pos="708"/>
          <w:tab w:val="left" w:pos="2340" w:leader="none"/>
          <w:tab w:val="left" w:pos="4464" w:leader="none"/>
        </w:tabs>
        <w:spacing w:lineRule="auto" w:line="360" w:before="142" w:after="142"/>
        <w:ind w:firstLine="709"/>
        <w:jc w:val="both"/>
        <w:rPr>
          <w:rFonts w:ascii="Arial" w:hAnsi="Arial"/>
          <w:sz w:val="21"/>
          <w:szCs w:val="21"/>
        </w:rPr>
      </w:pPr>
      <w:r>
        <w:rPr>
          <w:rFonts w:ascii="Arial" w:hAnsi="Arial"/>
          <w:bCs/>
          <w:sz w:val="21"/>
          <w:szCs w:val="21"/>
        </w:rPr>
        <w:t>Todos os custos relacionados à execução da garantia ou troca dos bens correrão por conta exclusiva do fornecedor, incluídos aqueles relacionados ao transporte, à troca de peças/equipamentos, às horas técnicas e ao deslocamento de pessoal.</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MODELO DE GESTÃO DO CONTRATO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A contratação decorrente do Sistema de Registro de Preços realizado pelo município é de total autonomia e responsabilidade do Órgão Participante o momento e a justificativa da contratação, observados a disponibilidade orçamentária e o prazo de vigência da ata, de acordo com a sua necessidade, sem qualquer interferência do Órgão Gerenciador na decisão de contratação.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A vinculação do fiscal e representante da administração pública será associada na emissão da Solicitação de Fornecimento e será consignada na Autorização de Fornecimento com a sua respectiva ciência.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0"/>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CRITÉRIOS DE MEDIÇÃO E PAGAMENTO</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CRITÉRIOS DE MEDIÇÃO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Por se tratar de simples aquisição de bens comuns e de entrega imediata, inexistem critérios de medição a serem fixados.</w:t>
      </w:r>
    </w:p>
    <w:p>
      <w:pPr>
        <w:pStyle w:val="ListParagraph"/>
        <w:numPr>
          <w:ilvl w:val="1"/>
          <w:numId w:val="2"/>
        </w:numPr>
        <w:tabs>
          <w:tab w:val="clear" w:pos="708"/>
          <w:tab w:val="left" w:pos="0" w:leader="none"/>
        </w:tabs>
        <w:spacing w:lineRule="auto" w:line="360" w:before="140" w:after="140"/>
        <w:contextualSpacing/>
        <w:rPr>
          <w:rFonts w:ascii="Arial" w:hAnsi="Arial"/>
          <w:sz w:val="21"/>
          <w:szCs w:val="21"/>
        </w:rPr>
      </w:pPr>
      <w:r>
        <w:rPr>
          <w:rFonts w:ascii="Arial" w:hAnsi="Arial"/>
          <w:b/>
          <w:sz w:val="21"/>
          <w:szCs w:val="21"/>
        </w:rPr>
        <w:t>CRITÉRIOS DE PAGAMENTO</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O pagamento pelas aquisições, objeto da presente licitação, será feito pelo Órgão Participante em favor do licitante vencedor mediante boleto ou </w:t>
      </w:r>
      <w:r>
        <w:rPr>
          <w:rFonts w:ascii="Arial" w:hAnsi="Arial"/>
          <w:sz w:val="21"/>
          <w:szCs w:val="21"/>
        </w:rPr>
        <w:t>transferência bancária (TED, DOC, depósito) em conta corrente de titularidade do fornecedor</w:t>
      </w:r>
      <w:r>
        <w:rPr>
          <w:rFonts w:ascii="Arial" w:hAnsi="Arial"/>
          <w:bCs/>
          <w:sz w:val="21"/>
          <w:szCs w:val="21"/>
        </w:rPr>
        <w:t xml:space="preserve">.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O Órgão Participante efetuará o pagamento em até 30 dias após a data de recebimento do objeto desta licitação acompanhado da respectiva Nota Fiscal Eletrônica e arquivo XML.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360" w:before="140" w:after="140"/>
        <w:ind w:firstLine="709"/>
        <w:jc w:val="both"/>
        <w:rPr>
          <w:rFonts w:ascii="Arial" w:hAnsi="Arial"/>
          <w:sz w:val="21"/>
          <w:szCs w:val="21"/>
        </w:rPr>
      </w:pPr>
      <w:r>
        <w:rPr>
          <w:rFonts w:ascii="Arial" w:hAnsi="Arial"/>
          <w:bCs/>
          <w:sz w:val="21"/>
          <w:szCs w:val="21"/>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360" w:before="140" w:after="140"/>
        <w:ind w:firstLine="709"/>
        <w:jc w:val="both"/>
        <w:rPr>
          <w:bCs/>
        </w:rPr>
      </w:pPr>
      <w:r>
        <w:rPr>
          <w:bCs/>
        </w:rPr>
        <w:t>Lindóia do Sul, 10 de setembro de 2024.</w:t>
      </w:r>
    </w:p>
    <w:p>
      <w:pPr>
        <w:pStyle w:val="Normal"/>
        <w:spacing w:lineRule="auto" w:line="360" w:before="140" w:after="140"/>
        <w:ind w:firstLine="709"/>
        <w:jc w:val="both"/>
        <w:rPr>
          <w:bCs/>
          <w:lang w:eastAsia="ar-SA"/>
        </w:rPr>
      </w:pPr>
      <w:r>
        <w:rPr>
          <w:bCs/>
          <w:lang w:eastAsia="ar-SA"/>
        </w:rPr>
      </w:r>
    </w:p>
    <w:p>
      <w:pPr>
        <w:pStyle w:val="Normal"/>
        <w:spacing w:lineRule="auto" w:line="360" w:before="140" w:after="140"/>
        <w:ind w:firstLine="709"/>
        <w:jc w:val="both"/>
        <w:rPr>
          <w:bCs/>
          <w:lang w:eastAsia="ar-SA"/>
        </w:rPr>
      </w:pPr>
      <w:r>
        <w:rPr>
          <w:bCs/>
          <w:lang w:eastAsia="ar-SA"/>
        </w:rPr>
      </w:r>
    </w:p>
    <w:p>
      <w:pPr>
        <w:pStyle w:val="Normal"/>
        <w:spacing w:lineRule="auto" w:line="240" w:before="0" w:after="0"/>
        <w:contextualSpacing/>
        <w:jc w:val="center"/>
        <w:rPr>
          <w:bCs/>
          <w:lang w:eastAsia="ar-SA"/>
        </w:rPr>
      </w:pPr>
      <w:r>
        <w:rPr>
          <w:bCs/>
          <w:lang w:eastAsia="ar-SA"/>
        </w:rPr>
        <w:t>Fernanda Ramos</w:t>
      </w:r>
    </w:p>
    <w:p>
      <w:pPr>
        <w:pStyle w:val="Textopadro"/>
        <w:spacing w:before="0" w:after="0"/>
        <w:ind w:right="-39" w:hanging="0"/>
        <w:contextualSpacing/>
        <w:jc w:val="center"/>
        <w:rPr>
          <w:rFonts w:ascii="Arial" w:hAnsi="Arial" w:cs="Arial"/>
          <w:bCs/>
          <w:sz w:val="22"/>
          <w:szCs w:val="22"/>
          <w:lang w:val="pt-BR"/>
        </w:rPr>
      </w:pPr>
      <w:r>
        <w:rPr>
          <w:rFonts w:cs="Arial" w:ascii="Arial" w:hAnsi="Arial"/>
          <w:b/>
          <w:bCs/>
          <w:sz w:val="22"/>
          <w:szCs w:val="22"/>
          <w:lang w:val="pt-BR"/>
        </w:rPr>
        <w:t>Assistente Administrativo</w:t>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sz w:val="21"/>
          <w:szCs w:val="21"/>
        </w:rPr>
      </w:r>
    </w:p>
    <w:p>
      <w:pPr>
        <w:pStyle w:val="Normal"/>
        <w:tabs>
          <w:tab w:val="clear" w:pos="708"/>
          <w:tab w:val="left" w:pos="2340" w:leader="none"/>
          <w:tab w:val="left" w:pos="4464" w:leader="none"/>
        </w:tabs>
        <w:spacing w:lineRule="auto" w:line="276" w:before="0" w:after="0"/>
        <w:jc w:val="center"/>
        <w:rPr>
          <w:rFonts w:ascii="Arial" w:hAnsi="Arial"/>
          <w:sz w:val="21"/>
          <w:szCs w:val="21"/>
        </w:rPr>
      </w:pPr>
      <w:r>
        <w:rPr>
          <w:rFonts w:ascii="Arial" w:hAnsi="Arial"/>
          <w:sz w:val="21"/>
          <w:szCs w:val="21"/>
        </w:rPr>
      </w:r>
    </w:p>
    <w:p>
      <w:pPr>
        <w:pStyle w:val="Textopadro"/>
        <w:spacing w:lineRule="auto" w:line="240" w:before="0" w:after="0"/>
        <w:ind w:left="0" w:right="-39" w:hanging="0"/>
        <w:contextualSpacing/>
        <w:jc w:val="center"/>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t>MODELO DE PROPOSTA DE PREÇOS E DADOS DA PROPONENTE</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Ttulo2"/>
        <w:widowControl/>
        <w:suppressAutoHyphens w:val="true"/>
        <w:bidi w:val="0"/>
        <w:spacing w:lineRule="auto" w:line="276" w:before="0" w:after="0"/>
        <w:ind w:left="0" w:right="0" w:hanging="0"/>
        <w:jc w:val="both"/>
        <w:rPr>
          <w:rFonts w:ascii="Arial" w:hAnsi="Arial"/>
          <w:sz w:val="21"/>
          <w:szCs w:val="21"/>
        </w:rPr>
      </w:pPr>
      <w:r>
        <w:rPr>
          <w:rFonts w:ascii="Arial" w:hAnsi="Arial"/>
          <w:b/>
          <w:bCs/>
          <w:i w:val="false"/>
          <w:iCs w:val="false"/>
          <w:sz w:val="21"/>
          <w:szCs w:val="21"/>
        </w:rPr>
        <w:t>PROCESSO LICITATÓRIO Nº 97/2024</w:t>
      </w:r>
    </w:p>
    <w:p>
      <w:pPr>
        <w:pStyle w:val="Ttulo2"/>
        <w:widowControl/>
        <w:suppressAutoHyphens w:val="true"/>
        <w:bidi w:val="0"/>
        <w:spacing w:lineRule="auto" w:line="276" w:before="0" w:after="0"/>
        <w:ind w:left="0" w:right="0" w:hanging="0"/>
        <w:jc w:val="both"/>
        <w:rPr>
          <w:rFonts w:ascii="Arial" w:hAnsi="Arial"/>
          <w:sz w:val="21"/>
          <w:szCs w:val="21"/>
        </w:rPr>
      </w:pPr>
      <w:r>
        <w:rPr>
          <w:rFonts w:ascii="Arial" w:hAnsi="Arial"/>
          <w:i w:val="false"/>
          <w:iCs w:val="false"/>
          <w:sz w:val="21"/>
          <w:szCs w:val="21"/>
        </w:rPr>
        <w:t>EDITAL DE PREGÃO ELETRÔNICO Nº 15/2024</w:t>
      </w:r>
    </w:p>
    <w:p>
      <w:pPr>
        <w:pStyle w:val="Normal"/>
        <w:widowControl/>
        <w:suppressAutoHyphens w:val="true"/>
        <w:bidi w:val="0"/>
        <w:spacing w:lineRule="auto" w:line="276" w:before="0" w:after="0"/>
        <w:ind w:left="0" w:right="0" w:hanging="0"/>
        <w:jc w:val="both"/>
        <w:rPr>
          <w:rFonts w:ascii="Arial" w:hAnsi="Arial" w:eastAsia="SimSun" w:cs="Mangal"/>
          <w:b/>
          <w:b/>
          <w:bCs/>
          <w:color w:val="00000A"/>
          <w:sz w:val="21"/>
          <w:szCs w:val="21"/>
          <w:lang w:val="pt-BR" w:eastAsia="zh-CN" w:bidi="hi-IN"/>
        </w:rPr>
      </w:pPr>
      <w:r>
        <w:rPr>
          <w:rFonts w:eastAsia="SimSun" w:cs="Mangal" w:ascii="Arial" w:hAnsi="Arial"/>
          <w:b/>
          <w:bCs/>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Apresentamos nossa proposta para aquisição do objeto da presente Licitação Pregão, na Forma Eletrônica acatando todas as estipulações consignadas no respectivo Edital e seus anexos.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1 – IDENTIFICAÇÃO DO CONCORRENTE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RAZÃO SOCIAL: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CNPJ: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INSCRIÇÃO ESTADUAL e/ou MUNICIPAL: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REPRESENTANTE: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CARGO: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CARTEIRA DE IDENTIDADE:</w:t>
        <w:tab/>
        <w:tab/>
        <w:tab/>
        <w:tab/>
        <w:t xml:space="preserve"> CPF: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ENDEREÇO: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 xml:space="preserve">TELEFONE: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2 – PREÇO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1467"/>
        <w:gridCol w:w="856"/>
        <w:gridCol w:w="735"/>
        <w:gridCol w:w="1140"/>
        <w:gridCol w:w="2488"/>
        <w:gridCol w:w="1086"/>
        <w:gridCol w:w="1362"/>
      </w:tblGrid>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1467"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5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73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1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248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VALOR TOTAL R$</w:t>
        <w:tab/>
        <w:t>0,00 (por extenso).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t>Declaro que nos preços acima cotados estão incluídos todos os custos diretos e indiretos necessários à perfeita execução do objeto, encargos sociais e inclusive as despesas com materiais e/ou equipamentos,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360" w:before="0" w:after="0"/>
        <w:ind w:left="0" w:right="0" w:hanging="0"/>
        <w:jc w:val="both"/>
        <w:rPr/>
      </w:pPr>
      <w:r>
        <w:rPr>
          <w:rFonts w:ascii="Arial" w:hAnsi="Arial"/>
          <w:b/>
          <w:bCs/>
          <w:sz w:val="21"/>
          <w:szCs w:val="21"/>
        </w:rPr>
        <w:t>3 – DADOS BANCÁRIOS DA EMPRESA</w:t>
      </w:r>
    </w:p>
    <w:p>
      <w:pPr>
        <w:pStyle w:val="Normal"/>
        <w:widowControl/>
        <w:suppressAutoHyphens w:val="true"/>
        <w:bidi w:val="0"/>
        <w:spacing w:lineRule="auto" w:line="360" w:before="0" w:after="0"/>
        <w:ind w:left="0" w:right="0" w:hanging="0"/>
        <w:jc w:val="both"/>
        <w:rPr/>
      </w:pPr>
      <w:r>
        <w:rPr>
          <w:rFonts w:ascii="Arial" w:hAnsi="Arial"/>
          <w:sz w:val="21"/>
          <w:szCs w:val="21"/>
        </w:rPr>
        <w:t>NOME DO BANCO:</w:t>
      </w:r>
    </w:p>
    <w:p>
      <w:pPr>
        <w:pStyle w:val="Normal"/>
        <w:widowControl/>
        <w:suppressAutoHyphens w:val="true"/>
        <w:bidi w:val="0"/>
        <w:spacing w:lineRule="auto" w:line="360" w:before="0" w:after="0"/>
        <w:ind w:left="0" w:right="0" w:hanging="0"/>
        <w:jc w:val="both"/>
        <w:rPr/>
      </w:pPr>
      <w:r>
        <w:rPr>
          <w:rFonts w:ascii="Arial" w:hAnsi="Arial"/>
          <w:sz w:val="21"/>
          <w:szCs w:val="21"/>
        </w:rPr>
        <w:t>CIDADE:</w:t>
      </w:r>
    </w:p>
    <w:p>
      <w:pPr>
        <w:pStyle w:val="Normal"/>
        <w:widowControl/>
        <w:suppressAutoHyphens w:val="true"/>
        <w:bidi w:val="0"/>
        <w:spacing w:lineRule="auto" w:line="360" w:before="0" w:after="0"/>
        <w:ind w:left="0" w:right="0" w:hanging="0"/>
        <w:jc w:val="both"/>
        <w:rPr/>
      </w:pPr>
      <w:r>
        <w:rPr>
          <w:rFonts w:ascii="Arial" w:hAnsi="Arial"/>
          <w:sz w:val="21"/>
          <w:szCs w:val="21"/>
        </w:rPr>
        <w:t>Nº DA AGÊNCIA:</w:t>
      </w:r>
    </w:p>
    <w:p>
      <w:pPr>
        <w:pStyle w:val="Normal"/>
        <w:widowControl/>
        <w:suppressAutoHyphens w:val="true"/>
        <w:bidi w:val="0"/>
        <w:spacing w:lineRule="auto" w:line="360"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360"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360" w:before="0" w:after="0"/>
        <w:ind w:left="0" w:right="0" w:hanging="0"/>
        <w:jc w:val="both"/>
        <w:rPr/>
      </w:pPr>
      <w:r>
        <w:rPr>
          <w:rFonts w:ascii="Arial" w:hAnsi="Arial"/>
          <w:sz w:val="21"/>
          <w:szCs w:val="21"/>
        </w:rPr>
        <w:t>CHAVE PIX:</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4 – DADOS DO REPRESENTANTE LEGAL RESPONSÁVEL PELA ASSINATURA DOCUMENTOS</w:t>
      </w:r>
    </w:p>
    <w:p>
      <w:pPr>
        <w:pStyle w:val="Normal"/>
        <w:widowControl/>
        <w:suppressAutoHyphens w:val="true"/>
        <w:bidi w:val="0"/>
        <w:spacing w:lineRule="auto" w:line="360" w:before="0" w:after="0"/>
        <w:ind w:left="0" w:right="0" w:hanging="0"/>
        <w:jc w:val="both"/>
        <w:rPr/>
      </w:pPr>
      <w:r>
        <w:rPr>
          <w:rFonts w:ascii="Arial" w:hAnsi="Arial"/>
          <w:sz w:val="21"/>
          <w:szCs w:val="21"/>
        </w:rPr>
        <w:t>NOME COMPLETO:</w:t>
      </w:r>
    </w:p>
    <w:p>
      <w:pPr>
        <w:pStyle w:val="Normal"/>
        <w:widowControl/>
        <w:suppressAutoHyphens w:val="true"/>
        <w:bidi w:val="0"/>
        <w:spacing w:lineRule="auto" w:line="360" w:before="0" w:after="0"/>
        <w:ind w:left="0" w:right="0" w:hanging="0"/>
        <w:jc w:val="both"/>
        <w:rPr/>
      </w:pPr>
      <w:r>
        <w:rPr>
          <w:rFonts w:ascii="Arial" w:hAnsi="Arial"/>
          <w:sz w:val="21"/>
          <w:szCs w:val="21"/>
        </w:rPr>
        <w:t>CARGO OU FUNÇÃO:</w:t>
      </w:r>
    </w:p>
    <w:p>
      <w:pPr>
        <w:pStyle w:val="Normal"/>
        <w:widowControl/>
        <w:suppressAutoHyphens w:val="true"/>
        <w:bidi w:val="0"/>
        <w:spacing w:lineRule="auto" w:line="360" w:before="0" w:after="0"/>
        <w:ind w:left="0" w:right="0" w:hanging="0"/>
        <w:jc w:val="both"/>
        <w:rPr/>
      </w:pPr>
      <w:r>
        <w:rPr>
          <w:rFonts w:ascii="Arial" w:hAnsi="Arial"/>
          <w:sz w:val="21"/>
          <w:szCs w:val="21"/>
        </w:rPr>
        <w:t>IDENTIDADE Nº:</w:t>
      </w:r>
    </w:p>
    <w:p>
      <w:pPr>
        <w:pStyle w:val="Normal"/>
        <w:widowControl/>
        <w:suppressAutoHyphens w:val="true"/>
        <w:bidi w:val="0"/>
        <w:spacing w:lineRule="auto" w:line="360" w:before="0" w:after="0"/>
        <w:ind w:left="0" w:right="0" w:hanging="0"/>
        <w:jc w:val="both"/>
        <w:rPr/>
      </w:pPr>
      <w:r>
        <w:rPr>
          <w:rFonts w:ascii="Arial" w:hAnsi="Arial"/>
          <w:sz w:val="21"/>
          <w:szCs w:val="21"/>
        </w:rPr>
        <w:t>CPF/MF Nº:</w:t>
      </w:r>
    </w:p>
    <w:p>
      <w:pPr>
        <w:pStyle w:val="Normal"/>
        <w:widowControl/>
        <w:suppressAutoHyphens w:val="true"/>
        <w:bidi w:val="0"/>
        <w:spacing w:lineRule="auto" w:line="360"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5 – DECLARAÇÃO DE DOMICÍLIO ELETRÔNICO DA EMPRESA</w:t>
      </w:r>
    </w:p>
    <w:p>
      <w:pPr>
        <w:pStyle w:val="Normal"/>
        <w:widowControl/>
        <w:suppressAutoHyphens w:val="true"/>
        <w:bidi w:val="0"/>
        <w:spacing w:lineRule="auto" w:line="360"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sz w:val="21"/>
          <w:szCs w:val="21"/>
        </w:rPr>
        <w:t>E-MAIL:</w:t>
      </w:r>
    </w:p>
    <w:p>
      <w:pPr>
        <w:pStyle w:val="Normal"/>
        <w:widowControl/>
        <w:suppressAutoHyphens w:val="true"/>
        <w:bidi w:val="0"/>
        <w:spacing w:lineRule="auto" w:line="360"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36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60" w:before="0" w:after="0"/>
        <w:ind w:left="0" w:right="0" w:hanging="0"/>
        <w:jc w:val="both"/>
        <w:rPr/>
      </w:pPr>
      <w:r>
        <w:rPr>
          <w:rFonts w:ascii="Arial" w:hAnsi="Arial"/>
          <w:b/>
          <w:bCs/>
          <w:sz w:val="21"/>
          <w:szCs w:val="21"/>
        </w:rPr>
        <w:t>6 – DECLARAÇÃO DE ASSINATURA POR CERTIFICAÇÃO DIGITAL</w:t>
      </w:r>
    </w:p>
    <w:p>
      <w:pPr>
        <w:pStyle w:val="Normal"/>
        <w:widowControl/>
        <w:suppressAutoHyphens w:val="true"/>
        <w:bidi w:val="0"/>
        <w:spacing w:lineRule="auto" w:line="360" w:before="0" w:after="0"/>
        <w:ind w:left="0" w:right="0" w:hanging="0"/>
        <w:jc w:val="both"/>
        <w:rPr/>
      </w:pPr>
      <w:r>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t>7 – CONDIÇÕES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 proponente declara conhecer os termos do instrumento convocatório que rege a presente Licitação.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PRAZO DE EXECUÇÃO: Conforme Termo de Referência/Edital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VALIDADE DA PROPOSTA: De no mínimo, 60 (sessenta) dias contados a partir da data da sessão pública do Pregão.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b w:val="false"/>
          <w:b w:val="false"/>
          <w:bCs w:val="false"/>
        </w:rPr>
      </w:pPr>
      <w:r>
        <w:rPr>
          <w:rFonts w:ascii="Arial" w:hAnsi="Arial"/>
          <w:b w:val="false"/>
          <w:bCs w:val="false"/>
          <w:sz w:val="21"/>
          <w:szCs w:val="21"/>
        </w:rPr>
        <w:t>PRAZO DE VIGÊNCIA DO CONTRAT</w:t>
      </w:r>
      <w:r>
        <w:rPr>
          <w:rFonts w:ascii="Arial" w:hAnsi="Arial"/>
          <w:b w:val="false"/>
          <w:bCs w:val="false"/>
          <w:color w:val="000000"/>
          <w:sz w:val="21"/>
          <w:szCs w:val="21"/>
          <w:shd w:fill="FFFFFF" w:val="clear"/>
        </w:rPr>
        <w:t>O:</w:t>
      </w:r>
      <w:r>
        <w:rPr>
          <w:rFonts w:ascii="Arial" w:hAnsi="Arial"/>
          <w:b w:val="false"/>
          <w:bCs w:val="false"/>
          <w:color w:val="000000"/>
          <w:position w:val="0"/>
          <w:sz w:val="21"/>
          <w:sz w:val="21"/>
          <w:szCs w:val="21"/>
          <w:shd w:fill="FFFFFF" w:val="clear"/>
          <w:vertAlign w:val="baseline"/>
        </w:rPr>
        <w:t xml:space="preserve"> 12 (doze) meses a partir da publicação no PNCP.</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6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300"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300"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pPr>
      <w:r>
        <w:rPr>
          <w:rFonts w:ascii="Arial" w:hAnsi="Arial"/>
          <w:sz w:val="21"/>
          <w:szCs w:val="21"/>
        </w:rPr>
        <w:t>Declaro, para os devidos fins da Licitação referente ao Pregão nº 15, na forma Eletrônica – Edital nº 97/2024,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300"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300"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300" w:before="0" w:after="0"/>
        <w:ind w:left="0" w:right="0" w:hanging="0"/>
        <w:jc w:val="center"/>
        <w:rPr>
          <w:rFonts w:ascii="Arial" w:hAnsi="Arial"/>
          <w:b/>
          <w:b/>
          <w:bCs/>
          <w:sz w:val="21"/>
          <w:szCs w:val="21"/>
        </w:rPr>
      </w:pPr>
      <w:r>
        <w:rPr>
          <w:rFonts w:ascii="Arial" w:hAnsi="Arial"/>
          <w:b/>
          <w:bCs/>
          <w:sz w:val="21"/>
          <w:szCs w:val="21"/>
        </w:rPr>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PROCESSO LICITATÓRIO Nº 97/2024</w:t>
      </w:r>
    </w:p>
    <w:p>
      <w:pPr>
        <w:pStyle w:val="Ttulo2"/>
        <w:widowControl/>
        <w:suppressAutoHyphens w:val="true"/>
        <w:bidi w:val="0"/>
        <w:spacing w:lineRule="auto" w:line="300" w:before="0" w:after="0"/>
        <w:ind w:left="0" w:right="0" w:hanging="0"/>
        <w:jc w:val="both"/>
        <w:rPr/>
      </w:pPr>
      <w:r>
        <w:rPr>
          <w:rFonts w:ascii="Arial" w:hAnsi="Arial"/>
          <w:b/>
          <w:bCs/>
          <w:i w:val="false"/>
          <w:iCs w:val="false"/>
          <w:sz w:val="21"/>
          <w:szCs w:val="21"/>
        </w:rPr>
        <w:t>EDITAL DE PREGAO</w:t>
      </w:r>
      <w:r>
        <w:rPr>
          <w:rFonts w:ascii="Arial" w:hAnsi="Arial"/>
          <w:b/>
          <w:bCs/>
          <w:i w:val="false"/>
          <w:iCs w:val="false"/>
          <w:strike w:val="false"/>
          <w:dstrike w:val="false"/>
          <w:color w:val="000000"/>
          <w:sz w:val="21"/>
          <w:szCs w:val="21"/>
          <w:u w:val="none"/>
        </w:rPr>
        <w:t xml:space="preserve"> ELETRÔNICO Nº 15/2024</w:t>
      </w:r>
    </w:p>
    <w:p>
      <w:pPr>
        <w:pStyle w:val="Normal"/>
        <w:spacing w:lineRule="auto" w:line="300" w:before="0" w:after="0"/>
        <w:ind w:left="0" w:right="0" w:hanging="0"/>
        <w:jc w:val="center"/>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spacing w:lineRule="auto" w:line="300" w:before="0" w:after="0"/>
        <w:ind w:left="0" w:right="0" w:hanging="0"/>
        <w:jc w:val="left"/>
        <w:rPr/>
      </w:pPr>
      <w:r>
        <w:rPr>
          <w:rFonts w:cs="Arial" w:ascii="Arial" w:hAnsi="Arial"/>
          <w:b/>
          <w:bCs/>
          <w:color w:val="000000"/>
          <w:kern w:val="2"/>
          <w:sz w:val="21"/>
          <w:szCs w:val="21"/>
          <w:lang w:eastAsia="zxx"/>
        </w:rPr>
        <w:t>ATA DE REGISTRO DE PREÇOS Nº __/2024</w:t>
      </w:r>
    </w:p>
    <w:p>
      <w:pPr>
        <w:pStyle w:val="Normal"/>
        <w:spacing w:lineRule="auto" w:line="300" w:before="0" w:after="0"/>
        <w:ind w:left="0" w:right="0" w:hanging="0"/>
        <w:jc w:val="both"/>
        <w:rPr>
          <w:rFonts w:ascii="Arial" w:hAnsi="Arial" w:cs="Arial"/>
          <w:b/>
          <w:b/>
          <w:bCs/>
          <w:color w:val="000000"/>
          <w:kern w:val="2"/>
          <w:sz w:val="21"/>
          <w:szCs w:val="21"/>
          <w:lang w:eastAsia="zxx"/>
        </w:rPr>
      </w:pPr>
      <w:r>
        <w:rPr>
          <w:rFonts w:cs="Arial" w:ascii="Arial" w:hAnsi="Arial"/>
          <w:b/>
          <w:bCs/>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val="false"/>
          <w:bCs w:val="false"/>
          <w:kern w:val="2"/>
          <w:sz w:val="21"/>
          <w:szCs w:val="21"/>
          <w:lang w:eastAsia="zxx"/>
        </w:rPr>
        <w:t xml:space="preserve">O </w:t>
      </w:r>
      <w:r>
        <w:rPr>
          <w:rFonts w:cs="Arial" w:ascii="Arial" w:hAnsi="Arial"/>
          <w:b/>
          <w:bCs/>
          <w:kern w:val="2"/>
          <w:sz w:val="21"/>
          <w:szCs w:val="21"/>
          <w:lang w:eastAsia="zxx"/>
        </w:rPr>
        <w:t>Município de Lindóia do Sul</w:t>
      </w:r>
      <w:r>
        <w:rPr>
          <w:rFonts w:cs="Arial" w:ascii="Arial" w:hAnsi="Arial"/>
          <w:b w:val="false"/>
          <w:bCs w:val="false"/>
          <w:kern w:val="2"/>
          <w:sz w:val="21"/>
          <w:szCs w:val="21"/>
          <w:lang w:eastAsia="zxx"/>
        </w:rPr>
        <w:t xml:space="preserve"> - SC, localizada na Rua Tamandaré, 98, Centro, neste ato representado pelo Prefeito Municipal, Sr. </w:t>
      </w:r>
      <w:r>
        <w:rPr>
          <w:rFonts w:cs="Arial" w:ascii="Arial" w:hAnsi="Arial"/>
          <w:b/>
          <w:bCs/>
          <w:kern w:val="2"/>
          <w:sz w:val="21"/>
          <w:szCs w:val="21"/>
          <w:lang w:eastAsia="zxx"/>
        </w:rPr>
        <w:t>Neudi Angelo Bertol</w:t>
      </w:r>
      <w:r>
        <w:rPr>
          <w:rFonts w:cs="Arial" w:ascii="Arial" w:hAnsi="Arial"/>
          <w:b w:val="false"/>
          <w:bCs w:val="false"/>
          <w:color w:val="000000"/>
          <w:kern w:val="2"/>
          <w:sz w:val="21"/>
          <w:szCs w:val="21"/>
          <w:lang w:eastAsia="zxx"/>
        </w:rPr>
        <w:t xml:space="preserve">, e a empresa ____________________, inscrita no CNPJ nº ____________________, localizada _______________________, no município de _____________________________, nesta Ata representada pelo seu ____________, Sr. __________________, portador do CPF n° ______________ nos termos da Lei Federal n. 14.133/2021, das demais normas legais aplicáveis, em face da classificação das propostas apresentadas no PREGÃO ELETRÔNICO nº 15/2024, Ata de julgamento de Preços e homologada pela autoridade competente, RESOLVEM registrar os preços para possível </w:t>
      </w:r>
      <w:r>
        <w:rPr>
          <w:rFonts w:cs="Arial" w:ascii="Arial" w:hAnsi="Arial"/>
          <w:b w:val="false"/>
          <w:bCs w:val="false"/>
          <w:color w:val="000000"/>
          <w:sz w:val="21"/>
          <w:szCs w:val="21"/>
        </w:rPr>
        <w:t xml:space="preserve">aquisição conforme a necessidade </w:t>
      </w:r>
      <w:r>
        <w:rPr>
          <w:rFonts w:cs="Arial" w:ascii="Arial" w:hAnsi="Arial"/>
          <w:b w:val="false"/>
          <w:bCs/>
          <w:color w:val="000000"/>
          <w:sz w:val="21"/>
          <w:szCs w:val="21"/>
        </w:rPr>
        <w:t>de materiais de sinalização viária (vertical e horizontal) tintas e correlatos, para uso dos órgãos ou entidades do Município de Lindóia do Sul</w:t>
      </w:r>
      <w:r>
        <w:rPr>
          <w:rFonts w:eastAsia="Times New Roman" w:cs="Arial" w:ascii="Arial" w:hAnsi="Arial"/>
          <w:b w:val="false"/>
          <w:bCs w:val="false"/>
          <w:color w:val="000000"/>
          <w:sz w:val="21"/>
          <w:szCs w:val="21"/>
        </w:rPr>
        <w:t>,</w:t>
      </w:r>
      <w:r>
        <w:rPr>
          <w:rFonts w:cs="Arial" w:ascii="Arial" w:hAnsi="Arial"/>
          <w:b w:val="false"/>
          <w:bCs w:val="false"/>
          <w:color w:val="000000"/>
          <w:sz w:val="21"/>
          <w:szCs w:val="21"/>
        </w:rPr>
        <w:t xml:space="preserve"> </w:t>
      </w:r>
      <w:r>
        <w:rPr>
          <w:rFonts w:eastAsia="Times New Roman" w:cs="Arial" w:ascii="Arial" w:hAnsi="Arial"/>
          <w:b w:val="false"/>
          <w:bCs w:val="false"/>
          <w:color w:val="000000"/>
          <w:kern w:val="0"/>
          <w:sz w:val="21"/>
          <w:szCs w:val="21"/>
          <w:lang w:eastAsia="zh-CN"/>
        </w:rPr>
        <w:t>conforme especificações constantes do ANEXO “I” do Edital</w:t>
      </w:r>
      <w:r>
        <w:rPr>
          <w:rFonts w:cs="Arial" w:ascii="Arial" w:hAnsi="Arial"/>
          <w:b w:val="false"/>
          <w:bCs w:val="false"/>
          <w:color w:val="000000"/>
          <w:kern w:val="2"/>
          <w:sz w:val="21"/>
          <w:szCs w:val="21"/>
          <w:lang w:eastAsia="zxx"/>
        </w:rPr>
        <w:t>, objeto do PREGÃO ELETRÔNICO acima citado, que passa a fazer parte desta, nos seguintes termos:</w:t>
      </w:r>
    </w:p>
    <w:p>
      <w:pPr>
        <w:pStyle w:val="Normal"/>
        <w:widowControl/>
        <w:suppressAutoHyphens w:val="false"/>
        <w:spacing w:lineRule="auto" w:line="300" w:before="0" w:after="0"/>
        <w:ind w:left="0" w:right="0" w:hanging="0"/>
        <w:jc w:val="both"/>
        <w:rPr>
          <w:rFonts w:ascii="Arial" w:hAnsi="Arial" w:cs="Arial"/>
          <w:color w:val="000000"/>
          <w:kern w:val="2"/>
          <w:sz w:val="21"/>
          <w:szCs w:val="21"/>
          <w:lang w:eastAsia="zxx"/>
        </w:rPr>
      </w:pPr>
      <w:r>
        <w:rPr>
          <w:rFonts w:cs="Arial" w:ascii="Arial" w:hAnsi="Arial"/>
          <w:color w:val="000000"/>
          <w:kern w:val="2"/>
          <w:sz w:val="21"/>
          <w:szCs w:val="21"/>
          <w:lang w:eastAsia="zxx"/>
        </w:rPr>
      </w:r>
    </w:p>
    <w:p>
      <w:pPr>
        <w:pStyle w:val="Normal"/>
        <w:widowControl/>
        <w:suppressAutoHyphens w:val="false"/>
        <w:spacing w:lineRule="auto" w:line="300" w:before="0" w:after="0"/>
        <w:ind w:left="0" w:right="0" w:hanging="0"/>
        <w:jc w:val="both"/>
        <w:rPr/>
      </w:pPr>
      <w:r>
        <w:rPr>
          <w:rFonts w:cs="Arial" w:ascii="Arial" w:hAnsi="Arial"/>
          <w:b/>
          <w:bCs/>
          <w:color w:val="000000"/>
          <w:kern w:val="2"/>
          <w:sz w:val="21"/>
          <w:szCs w:val="21"/>
          <w:lang w:eastAsia="zxx"/>
        </w:rPr>
        <w:t>CLÁUSULA PRIMEIRA – DO OBJETO</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1.1. A presente Ata tem por objeto o REGISTRO DE PREÇOS para futura e eventual aquisição de forma parcelada de materiais de sinalização viária (vertical e horizontal) tintas e correlatos, para uso dos órgãos ou entidades do Município de Lindóia do Sul, na condição de Órgãos Participantes desta licitação, de acordo com os quantitativos estimados e durante o prazo de vigência da Ata de Registro de Preços.</w:t>
      </w:r>
    </w:p>
    <w:p>
      <w:pPr>
        <w:pStyle w:val="Normal"/>
        <w:tabs>
          <w:tab w:val="clear" w:pos="708"/>
          <w:tab w:val="left" w:pos="2340" w:leader="none"/>
          <w:tab w:val="left" w:pos="4464" w:leader="none"/>
        </w:tabs>
        <w:spacing w:lineRule="auto" w:line="300" w:before="0" w:after="0"/>
        <w:ind w:left="0" w:right="0" w:hanging="0"/>
        <w:jc w:val="both"/>
        <w:rPr>
          <w:rFonts w:ascii="Arial" w:hAnsi="Arial" w:cs="Arial"/>
          <w:bCs/>
          <w:color w:val="000000"/>
          <w:kern w:val="2"/>
          <w:sz w:val="21"/>
          <w:szCs w:val="21"/>
          <w:lang w:eastAsia="zxx"/>
        </w:rPr>
      </w:pPr>
      <w:r>
        <w:rPr>
          <w:rFonts w:cs="Arial" w:ascii="Arial" w:hAnsi="Arial"/>
          <w:bCs/>
          <w:color w:val="000000"/>
          <w:kern w:val="2"/>
          <w:sz w:val="21"/>
          <w:szCs w:val="21"/>
          <w:lang w:eastAsia="zxx"/>
        </w:rPr>
      </w:r>
    </w:p>
    <w:p>
      <w:pPr>
        <w:pStyle w:val="Normal"/>
        <w:tabs>
          <w:tab w:val="clear" w:pos="708"/>
          <w:tab w:val="left" w:pos="2340" w:leader="none"/>
          <w:tab w:val="left" w:pos="4464" w:leader="none"/>
        </w:tabs>
        <w:spacing w:lineRule="auto" w:line="300" w:before="0" w:after="0"/>
        <w:ind w:left="0" w:right="0" w:hanging="0"/>
        <w:jc w:val="both"/>
        <w:rPr/>
      </w:pPr>
      <w:r>
        <w:rPr>
          <w:rFonts w:cs="Arial" w:ascii="Arial" w:hAnsi="Arial"/>
          <w:bCs/>
          <w:color w:val="000000"/>
          <w:kern w:val="2"/>
          <w:sz w:val="21"/>
          <w:szCs w:val="21"/>
          <w:lang w:eastAsia="zxx"/>
        </w:rPr>
        <w:t>1.2. As quantidades estimadas para a presente Ata são as descritas na tabela abaixo:</w:t>
      </w:r>
    </w:p>
    <w:p>
      <w:pPr>
        <w:pStyle w:val="Normal"/>
        <w:tabs>
          <w:tab w:val="clear" w:pos="708"/>
          <w:tab w:val="left" w:pos="2340" w:leader="none"/>
          <w:tab w:val="left" w:pos="4464" w:leader="none"/>
        </w:tabs>
        <w:spacing w:lineRule="auto" w:line="300"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tbl>
      <w:tblPr>
        <w:tblW w:w="9135" w:type="dxa"/>
        <w:jc w:val="left"/>
        <w:tblInd w:w="122" w:type="dxa"/>
        <w:tblLayout w:type="fixed"/>
        <w:tblCellMar>
          <w:top w:w="0" w:type="dxa"/>
          <w:left w:w="98" w:type="dxa"/>
          <w:bottom w:w="0" w:type="dxa"/>
          <w:right w:w="108" w:type="dxa"/>
        </w:tblCellMar>
      </w:tblPr>
      <w:tblGrid>
        <w:gridCol w:w="840"/>
        <w:gridCol w:w="913"/>
        <w:gridCol w:w="842"/>
        <w:gridCol w:w="1080"/>
        <w:gridCol w:w="3011"/>
        <w:gridCol w:w="1086"/>
        <w:gridCol w:w="1362"/>
      </w:tblGrid>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Item</w:t>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Quant</w:t>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Unid</w:t>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Marca</w:t>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Descrição</w:t>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Unit</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cs="Arial"/>
                <w:b/>
                <w:b/>
                <w:color w:val="000000"/>
                <w:sz w:val="21"/>
                <w:szCs w:val="21"/>
              </w:rPr>
            </w:pPr>
            <w:r>
              <w:rPr>
                <w:rFonts w:cs="Arial" w:ascii="Arial" w:hAnsi="Arial"/>
                <w:b/>
                <w:color w:val="000000"/>
                <w:sz w:val="21"/>
                <w:szCs w:val="21"/>
              </w:rPr>
              <w:t>Vl. Total</w:t>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8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91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84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center"/>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3011"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both"/>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08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r>
        <w:trPr/>
        <w:tc>
          <w:tcPr>
            <w:tcW w:w="7772" w:type="dxa"/>
            <w:gridSpan w:val="6"/>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cs="Arial"/>
                <w:b/>
                <w:b/>
                <w:color w:val="000000"/>
                <w:sz w:val="21"/>
                <w:szCs w:val="21"/>
              </w:rPr>
            </w:pPr>
            <w:r>
              <w:rPr>
                <w:rFonts w:cs="Arial" w:ascii="Arial" w:hAnsi="Arial"/>
                <w:b/>
                <w:color w:val="000000"/>
                <w:sz w:val="21"/>
                <w:szCs w:val="21"/>
              </w:rPr>
              <w:t>TOTAL DA PROPOSTA</w:t>
            </w:r>
          </w:p>
        </w:tc>
        <w:tc>
          <w:tcPr>
            <w:tcW w:w="136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76" w:before="0" w:after="57"/>
              <w:jc w:val="right"/>
              <w:rPr>
                <w:rFonts w:ascii="Arial" w:hAnsi="Arial" w:eastAsia="SimSun" w:cs="Arial"/>
                <w:b/>
                <w:b/>
                <w:color w:val="000000"/>
                <w:sz w:val="21"/>
                <w:szCs w:val="21"/>
                <w:lang w:val="pt-BR" w:eastAsia="zh-CN" w:bidi="hi-IN"/>
              </w:rPr>
            </w:pPr>
            <w:r>
              <w:rPr>
                <w:rFonts w:eastAsia="SimSun" w:cs="Arial" w:ascii="Arial" w:hAnsi="Arial"/>
                <w:b/>
                <w:color w:val="000000"/>
                <w:sz w:val="21"/>
                <w:szCs w:val="21"/>
                <w:lang w:val="pt-BR" w:eastAsia="zh-CN" w:bidi="hi-IN"/>
              </w:rPr>
            </w:r>
          </w:p>
        </w:tc>
      </w:tr>
    </w:tbl>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276" w:before="0" w:after="0"/>
        <w:ind w:left="0" w:right="0" w:hanging="0"/>
        <w:jc w:val="both"/>
        <w:rPr/>
      </w:pPr>
      <w:r>
        <w:rPr>
          <w:rFonts w:cs="Arial" w:ascii="Arial" w:hAnsi="Arial"/>
          <w:b/>
          <w:bCs/>
          <w:color w:val="000000"/>
          <w:sz w:val="21"/>
          <w:szCs w:val="21"/>
          <w:lang w:eastAsia="zxx"/>
        </w:rPr>
        <w:t>CLÁUSULA SEGUNDA – DA VALIDADE DA ATA</w:t>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r>
    </w:p>
    <w:p>
      <w:pPr>
        <w:pStyle w:val="Normal"/>
        <w:spacing w:lineRule="auto" w:line="276" w:before="0" w:after="0"/>
        <w:ind w:left="0" w:right="0" w:hanging="0"/>
        <w:jc w:val="both"/>
        <w:rPr/>
      </w:pPr>
      <w:r>
        <w:rPr>
          <w:rFonts w:cs="Arial" w:ascii="Arial" w:hAnsi="Arial"/>
          <w:bCs/>
          <w:color w:val="000000"/>
          <w:sz w:val="21"/>
          <w:szCs w:val="21"/>
          <w:lang w:eastAsia="zxx"/>
        </w:rPr>
        <w:t xml:space="preserve">2.1. </w:t>
      </w:r>
      <w:r>
        <w:rPr>
          <w:rFonts w:eastAsia="Times New Roman" w:cs="Arial"/>
          <w:bCs/>
          <w:color w:val="000000"/>
          <w:kern w:val="0"/>
          <w:sz w:val="21"/>
          <w:szCs w:val="21"/>
          <w:lang w:eastAsia="zh-CN"/>
        </w:rPr>
        <w:t xml:space="preserve">O prazo de vigência da ata de registro de preços será de 1 (um) ano e poderá ser prorrogado por igual período, desde que comprovado o preço vantajoso, nos termos do art. 84, </w:t>
      </w:r>
      <w:r>
        <w:rPr>
          <w:rFonts w:eastAsia="Times New Roman" w:cs="Arial"/>
          <w:bCs/>
          <w:i/>
          <w:iCs/>
          <w:color w:val="000000"/>
          <w:kern w:val="0"/>
          <w:sz w:val="21"/>
          <w:szCs w:val="21"/>
          <w:lang w:eastAsia="zh-CN"/>
        </w:rPr>
        <w:t>caput</w:t>
      </w:r>
      <w:r>
        <w:rPr>
          <w:rFonts w:eastAsia="Times New Roman" w:cs="Arial"/>
          <w:bCs/>
          <w:color w:val="000000"/>
          <w:kern w:val="0"/>
          <w:sz w:val="21"/>
          <w:szCs w:val="21"/>
          <w:lang w:eastAsia="zh-CN"/>
        </w:rPr>
        <w:t xml:space="preserve">, da Lei Federal n. 14.133/2021. </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lang w:eastAsia="zxx"/>
        </w:rPr>
        <w:t>2.1.1. Em caso de prorrogação da vigência da ata de registro de preços, as quantidades inicialmente registradas serão renovadas na sua totalidade, independentemente do quantitativo utilizado no período de vigência, não sendo possível cumular com as quantidades não utilizadas.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2.2. Durante o prazo de validade desta Ata de Registro de Preços, a Administração Municipal de Lindóia do Sul não será obrigada a firmar as contratações que dela poderão advir, facultando-se-lhe a realização de licitação específica para a aquisição pretendida, sendo assegurado ao(s) beneficiário(s) do registro preferência de fornecimento em igualdade de condições.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2.3. Os preços, durante a vigência da Ata, serão fixos e irreajustáveis, exceto nas hipóteses devidamente comprovadas, de ocorrência de situação prevista no art. 122 do Decreto Municipal nº 4.072/2024 ou de redução dos preços praticados no mercado.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TERCEIRA -  DO PRAZO, FORMA DE RECEBIMENTO E LOCAL DE ENTREGA DO OBJETO</w:t>
      </w:r>
    </w:p>
    <w:p>
      <w:pPr>
        <w:pStyle w:val="Normal"/>
        <w:spacing w:lineRule="auto" w:line="276" w:before="0" w:after="0"/>
        <w:ind w:left="0" w:right="0" w:hanging="0"/>
        <w:jc w:val="both"/>
        <w:rPr>
          <w:rFonts w:ascii="Arial" w:hAnsi="Arial" w:cs="Arial"/>
          <w:b/>
          <w:b/>
          <w:color w:val="000000"/>
          <w:sz w:val="21"/>
          <w:szCs w:val="21"/>
          <w:lang w:eastAsia="zxx"/>
        </w:rPr>
      </w:pPr>
      <w:r>
        <w:rPr>
          <w:rFonts w:cs="Arial" w:ascii="Arial" w:hAnsi="Arial"/>
          <w:b/>
          <w:color w:val="000000"/>
          <w:sz w:val="21"/>
          <w:szCs w:val="21"/>
          <w:lang w:eastAsia="zxx"/>
        </w:rPr>
      </w:r>
    </w:p>
    <w:p>
      <w:pPr>
        <w:pStyle w:val="Normal"/>
        <w:numPr>
          <w:ilvl w:val="0"/>
          <w:numId w:val="0"/>
        </w:numPr>
        <w:suppressAutoHyphens w:val="false"/>
        <w:spacing w:lineRule="auto" w:line="360" w:before="0" w:after="0"/>
        <w:ind w:left="0" w:right="0" w:hanging="0"/>
        <w:jc w:val="both"/>
        <w:rPr>
          <w:rFonts w:ascii="Arial" w:hAnsi="Arial"/>
          <w:sz w:val="21"/>
          <w:szCs w:val="21"/>
        </w:rPr>
      </w:pPr>
      <w:r>
        <w:rPr>
          <w:rFonts w:eastAsia="Times New Roman" w:cs="Arial" w:ascii="Arial" w:hAnsi="Arial"/>
          <w:color w:val="000000"/>
          <w:sz w:val="21"/>
          <w:szCs w:val="21"/>
          <w:lang w:eastAsia="pt-BR"/>
        </w:rPr>
        <w:t xml:space="preserve">3.1 </w:t>
      </w:r>
      <w:r>
        <w:rPr>
          <w:rFonts w:eastAsia="Times New Roman" w:cs="Arial" w:ascii="Arial" w:hAnsi="Arial"/>
          <w:bCs/>
          <w:color w:val="000000"/>
          <w:sz w:val="21"/>
          <w:szCs w:val="21"/>
          <w:lang w:eastAsia="pt-BR"/>
        </w:rPr>
        <w:t>Os itens contratados deverão ser entregues no prazo máximo de 15 dias, a contar da data de recebimento da Autorização de Fornecimento (AF) que será enviada por meio eletrônico, no local indicado pelo órgão participante, com a respectiva Nota Fiscal Eletrônica, e deverá ser enviado o arquivo XML para o e-mail indicado na Autorização de Fornecimento</w:t>
      </w:r>
      <w:r>
        <w:rPr>
          <w:rFonts w:eastAsia="Times New Roman" w:cs="Arial" w:ascii="Arial" w:hAnsi="Arial"/>
          <w:color w:val="000000"/>
          <w:sz w:val="21"/>
          <w:szCs w:val="21"/>
          <w:shd w:fill="auto" w:val="clear"/>
          <w:lang w:eastAsia="pt-BR"/>
        </w:rPr>
        <w:t>.</w:t>
      </w:r>
    </w:p>
    <w:p>
      <w:pPr>
        <w:pStyle w:val="Default"/>
        <w:rPr>
          <w:rFonts w:ascii="Arial" w:hAnsi="Arial" w:eastAsia="Times New Roman" w:cs="Arial"/>
          <w:color w:val="000000"/>
          <w:sz w:val="21"/>
          <w:szCs w:val="21"/>
          <w:shd w:fill="FFFF00" w:val="clear"/>
          <w:lang w:eastAsia="pt-BR"/>
        </w:rPr>
      </w:pPr>
      <w:r>
        <w:rPr>
          <w:rFonts w:eastAsia="Times New Roman" w:cs="Arial" w:ascii="Arial" w:hAnsi="Arial"/>
          <w:color w:val="000000"/>
          <w:sz w:val="21"/>
          <w:szCs w:val="21"/>
          <w:shd w:fill="FFFF00" w:val="clear"/>
          <w:lang w:eastAsia="pt-BR"/>
        </w:rPr>
      </w:r>
    </w:p>
    <w:p>
      <w:pPr>
        <w:pStyle w:val="Default"/>
        <w:spacing w:lineRule="auto" w:line="276" w:before="0" w:after="0"/>
        <w:ind w:left="0" w:hanging="0"/>
        <w:jc w:val="both"/>
        <w:rPr>
          <w:rFonts w:ascii="Arial" w:hAnsi="Arial"/>
          <w:sz w:val="21"/>
          <w:szCs w:val="21"/>
        </w:rPr>
      </w:pPr>
      <w:r>
        <w:rPr>
          <w:rFonts w:ascii="Arial" w:hAnsi="Arial"/>
          <w:sz w:val="21"/>
          <w:szCs w:val="21"/>
        </w:rPr>
        <w:t xml:space="preserve">3.1.1 </w:t>
      </w:r>
      <w:r>
        <w:rPr>
          <w:rFonts w:ascii="Arial" w:hAnsi="Arial"/>
          <w:b w:val="false"/>
          <w:sz w:val="21"/>
          <w:szCs w:val="21"/>
        </w:rPr>
        <w:t>Os itens deverão ser entregues conforme solicitados na Diretoria de Urbanismo, localizada na Rua 29 de Julho, Centro, ou na sede da prefeitura, sito Rua Tamandaré, 98, centro, de Segunda a Sexta feira das 08:00 as 11:30 horas e das 13:30 as 17:00 horas.</w:t>
      </w:r>
    </w:p>
    <w:p>
      <w:pPr>
        <w:pStyle w:val="Default"/>
        <w:spacing w:lineRule="auto" w:line="276" w:before="0" w:after="0"/>
        <w:ind w:left="0" w:hanging="0"/>
        <w:jc w:val="both"/>
        <w:rPr>
          <w:b w:val="false"/>
          <w:b w:val="false"/>
        </w:rPr>
      </w:pPr>
      <w:r>
        <w:rPr>
          <w:b w:val="false"/>
        </w:rPr>
      </w:r>
    </w:p>
    <w:p>
      <w:pPr>
        <w:pStyle w:val="Normal"/>
        <w:spacing w:lineRule="auto" w:line="360" w:before="142" w:after="142"/>
        <w:ind w:hanging="0"/>
        <w:jc w:val="both"/>
        <w:rPr>
          <w:rFonts w:ascii="Arial" w:hAnsi="Arial"/>
          <w:sz w:val="21"/>
          <w:szCs w:val="21"/>
        </w:rPr>
      </w:pPr>
      <w:r>
        <w:rPr>
          <w:rFonts w:ascii="Arial" w:hAnsi="Arial"/>
          <w:b w:val="false"/>
          <w:sz w:val="21"/>
          <w:szCs w:val="21"/>
        </w:rPr>
        <w:t xml:space="preserve">3.1.2 Os produtos objeto desta licitação deverão ter validade mínima de 12 (doze) meses a contar da data do recebimento definitivo, ou prazo superior fixado pelo fabricante. </w:t>
      </w:r>
    </w:p>
    <w:p>
      <w:pPr>
        <w:pStyle w:val="Normal"/>
        <w:spacing w:lineRule="auto" w:line="360" w:before="142" w:after="142"/>
        <w:ind w:hanging="0"/>
        <w:jc w:val="both"/>
        <w:rPr>
          <w:rFonts w:ascii="Arial" w:hAnsi="Arial"/>
          <w:sz w:val="21"/>
          <w:szCs w:val="21"/>
        </w:rPr>
      </w:pPr>
      <w:r>
        <w:rPr>
          <w:rFonts w:ascii="Arial" w:hAnsi="Arial"/>
          <w:sz w:val="21"/>
          <w:szCs w:val="21"/>
        </w:rPr>
        <w:t xml:space="preserve">3.3 Os produtos que apresentarem vício ou defeito no momento do uso deverão ser substituídos por outros novos, de primeiro uso, e originais, que apresentem padrões de qualidade e desempenho iguais ou superiores aos produtos utilizados; </w:t>
      </w:r>
    </w:p>
    <w:p>
      <w:pPr>
        <w:pStyle w:val="Normal"/>
        <w:spacing w:lineRule="auto" w:line="360" w:before="142" w:after="142"/>
        <w:ind w:hanging="0"/>
        <w:jc w:val="both"/>
        <w:rPr>
          <w:rFonts w:ascii="Arial" w:hAnsi="Arial"/>
          <w:sz w:val="21"/>
          <w:szCs w:val="21"/>
        </w:rPr>
      </w:pPr>
      <w:r>
        <w:rPr>
          <w:rFonts w:ascii="Arial" w:hAnsi="Arial"/>
          <w:sz w:val="21"/>
          <w:szCs w:val="21"/>
        </w:rPr>
        <w:t xml:space="preserve">3.3.1 Uma vez notificada, a Contratada realizará a substituição dos bens que apresentarem vício ou defeito no prazo de até 03 (três) dias úteis, contados a partir da data de retirada do item/produto por funcionários do órgão designado; </w:t>
      </w:r>
    </w:p>
    <w:p>
      <w:pPr>
        <w:pStyle w:val="Normal"/>
        <w:spacing w:lineRule="auto" w:line="360" w:before="142" w:after="142"/>
        <w:ind w:hanging="0"/>
        <w:jc w:val="both"/>
        <w:rPr>
          <w:rFonts w:ascii="Arial" w:hAnsi="Arial"/>
          <w:sz w:val="21"/>
          <w:szCs w:val="21"/>
        </w:rPr>
      </w:pPr>
      <w:r>
        <w:rPr>
          <w:rFonts w:cs="Arial" w:ascii="Arial" w:hAnsi="Arial"/>
          <w:kern w:val="2"/>
          <w:sz w:val="21"/>
          <w:szCs w:val="21"/>
        </w:rPr>
        <w:t xml:space="preserve">3.3.1.1 O prazo indicado no subitem anterior, durante seu transcurso, poderá ser prorrogado uma única vez, por igual período, mediante solicitação escrita e justificada da contratada e aceita pela Contratante; </w:t>
      </w:r>
    </w:p>
    <w:p>
      <w:pPr>
        <w:pStyle w:val="Normal"/>
        <w:spacing w:lineRule="auto" w:line="360" w:before="142" w:after="142"/>
        <w:ind w:hanging="0"/>
        <w:jc w:val="both"/>
        <w:rPr>
          <w:rFonts w:ascii="Arial" w:hAnsi="Arial"/>
          <w:sz w:val="21"/>
          <w:szCs w:val="21"/>
        </w:rPr>
      </w:pPr>
      <w:r>
        <w:rPr>
          <w:rFonts w:ascii="Arial" w:hAnsi="Arial"/>
          <w:sz w:val="21"/>
          <w:szCs w:val="21"/>
        </w:rPr>
        <w:t xml:space="preserve">3.3.1.2 Na hipótese do subitem acima, a Contratada deverá disponibilizar material equivalente, de especificação igual ou superior ao anteriormente fornecido, para utilização em caráter provisório pelo Contratante, de modo a garantir a continuidade dos trabalhos durante a execução dos serviços; </w:t>
      </w:r>
    </w:p>
    <w:p>
      <w:pPr>
        <w:pStyle w:val="Normal"/>
        <w:spacing w:lineRule="auto" w:line="360" w:before="142" w:after="142"/>
        <w:ind w:hanging="0"/>
        <w:jc w:val="both"/>
        <w:rPr>
          <w:rFonts w:ascii="Arial" w:hAnsi="Arial"/>
          <w:sz w:val="21"/>
          <w:szCs w:val="21"/>
        </w:rPr>
      </w:pPr>
      <w:r>
        <w:rPr>
          <w:rFonts w:cs="Arial" w:ascii="Arial" w:hAnsi="Arial"/>
          <w:kern w:val="2"/>
          <w:sz w:val="21"/>
          <w:szCs w:val="21"/>
        </w:rPr>
        <w:t>3.3.1.3 Decorrido o prazo para substituições sem o atendimento da solicitação do Contratante ou a apresentação de justificativas pela Contratada, fica o Contratante autorizado a contratar empresa diversa para executar a substituição do item/produto, bem como a exigir da Contratada o reembolso pelos custos respectivos;</w:t>
      </w:r>
    </w:p>
    <w:p>
      <w:pPr>
        <w:pStyle w:val="Normal"/>
        <w:numPr>
          <w:ilvl w:val="0"/>
          <w:numId w:val="0"/>
        </w:numPr>
        <w:tabs>
          <w:tab w:val="clear" w:pos="708"/>
          <w:tab w:val="left" w:pos="142" w:leader="none"/>
        </w:tabs>
        <w:spacing w:lineRule="auto" w:line="360" w:before="0" w:after="0"/>
        <w:ind w:left="0" w:right="0" w:hanging="0"/>
        <w:jc w:val="both"/>
        <w:rPr>
          <w:rFonts w:ascii="Arial" w:hAnsi="Arial"/>
          <w:sz w:val="21"/>
          <w:szCs w:val="21"/>
        </w:rPr>
      </w:pPr>
      <w:r>
        <w:rPr>
          <w:rFonts w:cs="Arial" w:ascii="Arial" w:hAnsi="Arial"/>
          <w:kern w:val="2"/>
          <w:sz w:val="21"/>
          <w:szCs w:val="21"/>
        </w:rPr>
        <w:t>3.4. Todos os custos com o objeto, frete, deslocamento, serão de responsabilidade exclusiva da licitante,sob o qual ficará a total responsabilidade de realizar o transporte adequado e manter em perfeitas condições de armazenamento todos os itens a serem entregues, garantindo a sua total eficiência e qualidade.</w:t>
      </w:r>
    </w:p>
    <w:p>
      <w:pPr>
        <w:pStyle w:val="Normal"/>
        <w:numPr>
          <w:ilvl w:val="0"/>
          <w:numId w:val="0"/>
        </w:numPr>
        <w:tabs>
          <w:tab w:val="clear" w:pos="708"/>
          <w:tab w:val="left" w:pos="142" w:leader="none"/>
        </w:tabs>
        <w:spacing w:lineRule="auto" w:line="276" w:before="0" w:after="0"/>
        <w:ind w:left="0" w:right="0" w:hanging="0"/>
        <w:jc w:val="both"/>
        <w:rPr>
          <w:rFonts w:cs="Arial"/>
          <w:kern w:val="2"/>
        </w:rPr>
      </w:pPr>
      <w:r>
        <w:rPr>
          <w:rFonts w:cs="Arial"/>
          <w:kern w:val="2"/>
        </w:rPr>
      </w:r>
    </w:p>
    <w:p>
      <w:pPr>
        <w:pStyle w:val="Normal"/>
        <w:tabs>
          <w:tab w:val="clear" w:pos="708"/>
          <w:tab w:val="left" w:pos="2340" w:leader="none"/>
          <w:tab w:val="left" w:pos="4464" w:leader="none"/>
        </w:tabs>
        <w:spacing w:lineRule="auto" w:line="360" w:before="142" w:after="142"/>
        <w:ind w:hanging="0"/>
        <w:jc w:val="both"/>
        <w:rPr>
          <w:rFonts w:ascii="Arial" w:hAnsi="Arial"/>
          <w:bCs/>
          <w:sz w:val="21"/>
          <w:szCs w:val="21"/>
        </w:rPr>
      </w:pPr>
      <w:r>
        <w:rPr>
          <w:rFonts w:cs="Arial" w:ascii="Arial" w:hAnsi="Arial"/>
          <w:bCs/>
          <w:kern w:val="2"/>
          <w:sz w:val="21"/>
          <w:szCs w:val="21"/>
        </w:rPr>
        <w:t>3.4.1 Todos os custos relacionados à execução da garantia ou troca dos bens correrão por conta exclusiva do fornecedor, incluídos aqueles relacionados ao transporte, à troca de peças/equipamentos, às horas técnicas e ao deslocamento de pessoal</w:t>
      </w:r>
    </w:p>
    <w:p>
      <w:pPr>
        <w:pStyle w:val="Normal"/>
        <w:numPr>
          <w:ilvl w:val="0"/>
          <w:numId w:val="0"/>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numPr>
          <w:ilvl w:val="0"/>
          <w:numId w:val="0"/>
        </w:numPr>
        <w:tabs>
          <w:tab w:val="clear" w:pos="708"/>
          <w:tab w:val="left" w:pos="142" w:leader="none"/>
        </w:tabs>
        <w:spacing w:lineRule="auto" w:line="276" w:before="0" w:after="0"/>
        <w:ind w:left="0" w:right="0" w:hanging="0"/>
        <w:jc w:val="both"/>
        <w:rPr>
          <w:rFonts w:ascii="Arial" w:hAnsi="Arial"/>
          <w:sz w:val="21"/>
          <w:szCs w:val="21"/>
        </w:rPr>
      </w:pPr>
      <w:r>
        <w:rPr>
          <w:rFonts w:eastAsia="Times New Roman" w:cs="Arial" w:ascii="Arial" w:hAnsi="Arial"/>
          <w:color w:val="000000"/>
          <w:kern w:val="0"/>
          <w:sz w:val="21"/>
          <w:szCs w:val="21"/>
          <w:lang w:eastAsia="pt-BR"/>
        </w:rPr>
        <w:t xml:space="preserve">3.5. O ato de recebimento não implica na aceitação do produto; </w:t>
      </w:r>
    </w:p>
    <w:p>
      <w:pPr>
        <w:pStyle w:val="Normal"/>
        <w:numPr>
          <w:ilvl w:val="0"/>
          <w:numId w:val="7"/>
        </w:numPr>
        <w:tabs>
          <w:tab w:val="clear" w:pos="708"/>
          <w:tab w:val="left" w:pos="142" w:leader="none"/>
        </w:tabs>
        <w:spacing w:lineRule="auto" w:line="276" w:before="0" w:after="0"/>
        <w:ind w:left="0" w:right="0" w:hanging="0"/>
        <w:jc w:val="both"/>
        <w:rPr>
          <w:rFonts w:ascii="Arial" w:hAnsi="Arial" w:cs="Arial"/>
          <w:kern w:val="2"/>
          <w:sz w:val="21"/>
          <w:szCs w:val="21"/>
        </w:rPr>
      </w:pPr>
      <w:r>
        <w:rPr>
          <w:rFonts w:cs="Arial" w:ascii="Arial" w:hAnsi="Arial"/>
          <w:kern w:val="2"/>
          <w:sz w:val="21"/>
          <w:szCs w:val="21"/>
        </w:rPr>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t>CLÁUSULA QUARTA - DAS PENALIDADES</w:t>
      </w:r>
    </w:p>
    <w:p>
      <w:pPr>
        <w:pStyle w:val="Normal"/>
        <w:spacing w:lineRule="auto" w:line="276" w:before="0" w:after="0"/>
        <w:ind w:left="0" w:right="0" w:hanging="0"/>
        <w:jc w:val="both"/>
        <w:rPr>
          <w:rFonts w:ascii="Arial" w:hAnsi="Arial" w:cs="Arial"/>
          <w:b/>
          <w:b/>
          <w:color w:val="000000"/>
          <w:sz w:val="21"/>
          <w:szCs w:val="21"/>
        </w:rPr>
      </w:pPr>
      <w:r>
        <w:rPr>
          <w:rFonts w:cs="Arial" w:ascii="Arial" w:hAnsi="Arial"/>
          <w:b/>
          <w:color w:val="000000"/>
          <w:sz w:val="21"/>
          <w:szCs w:val="21"/>
        </w:rPr>
      </w:r>
    </w:p>
    <w:p>
      <w:pPr>
        <w:pStyle w:val="Normal"/>
        <w:spacing w:lineRule="auto" w:line="276" w:before="0" w:after="0"/>
        <w:ind w:left="0" w:right="0" w:hanging="0"/>
        <w:jc w:val="both"/>
        <w:rPr/>
      </w:pPr>
      <w:r>
        <w:rPr>
          <w:rFonts w:cs="Arial" w:ascii="Arial" w:hAnsi="Arial"/>
          <w:color w:val="000000"/>
          <w:sz w:val="21"/>
          <w:szCs w:val="21"/>
        </w:rPr>
        <w:t xml:space="preserve">4.1. </w:t>
      </w:r>
      <w:r>
        <w:rPr>
          <w:rFonts w:eastAsia="Calibri" w:cs="Arial" w:ascii="Arial" w:hAnsi="Arial" w:eastAsiaTheme="minorHAnsi"/>
          <w:color w:val="000000"/>
          <w:sz w:val="21"/>
          <w:szCs w:val="21"/>
          <w:shd w:fill="FFFFFF" w:val="clear"/>
        </w:rPr>
        <w:t>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4.2.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4.3.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4.4.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4.5. A recusa injustificada do adjudicatário em assinar a Ata de Registro de Preços/Contrato,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4.6.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na Ata de Registro de Preços/contrato, será considerado extinto a Ata de Registro de Preços/Contrato Administrativo, canceladas as ordens de serviços e aplicada multa de 20% (vinte inteiros por cento) por inexecução total, calculada sobre o valor da Ata de Registro de Preços/contrato.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4.7.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4.8.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4.9.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4.10.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4.12.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rPr>
        <w:t>4.13.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spacing w:lineRule="auto" w:line="276" w:before="0" w:after="0"/>
        <w:ind w:left="0" w:right="0" w:hanging="0"/>
        <w:jc w:val="both"/>
        <w:rPr/>
      </w:pPr>
      <w:r>
        <w:rPr>
          <w:rFonts w:cs="Arial" w:ascii="Arial" w:hAnsi="Arial"/>
          <w:color w:val="000000"/>
          <w:sz w:val="21"/>
          <w:szCs w:val="21"/>
          <w:shd w:fill="FFFFFF" w:val="clear"/>
        </w:rPr>
        <w:t>4.14.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color w:val="000000"/>
          <w:sz w:val="21"/>
          <w:szCs w:val="21"/>
          <w:shd w:fill="FFFFFF" w:val="clear"/>
        </w:rPr>
      </w:pPr>
      <w:r>
        <w:rPr>
          <w:rFonts w:cs="Arial" w:ascii="Arial" w:hAnsi="Arial"/>
          <w:color w:val="000000"/>
          <w:sz w:val="21"/>
          <w:szCs w:val="21"/>
          <w:shd w:fill="FFFFFF" w:val="clear"/>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QUINTA – DO CANCELAMENTO</w:t>
      </w:r>
    </w:p>
    <w:p>
      <w:pPr>
        <w:pStyle w:val="Normal"/>
        <w:spacing w:lineRule="auto" w:line="300" w:before="0" w:after="0"/>
        <w:ind w:left="0" w:right="0" w:hanging="0"/>
        <w:jc w:val="both"/>
        <w:rPr>
          <w:rFonts w:cs="Arial"/>
          <w:bCs/>
          <w:color w:val="000000"/>
          <w:sz w:val="21"/>
          <w:szCs w:val="21"/>
        </w:rPr>
      </w:pPr>
      <w:r>
        <w:rPr>
          <w:rFonts w:cs="Arial"/>
          <w:bCs/>
          <w:color w:val="000000"/>
          <w:sz w:val="21"/>
          <w:szCs w:val="21"/>
        </w:rPr>
      </w:r>
    </w:p>
    <w:p>
      <w:pPr>
        <w:pStyle w:val="Normal"/>
        <w:spacing w:lineRule="auto" w:line="300" w:before="0" w:after="0"/>
        <w:ind w:left="0" w:right="0" w:hanging="0"/>
        <w:jc w:val="both"/>
        <w:rPr/>
      </w:pPr>
      <w:r>
        <w:rPr>
          <w:rFonts w:cs="Arial"/>
          <w:bCs/>
          <w:color w:val="000000"/>
          <w:sz w:val="21"/>
          <w:szCs w:val="21"/>
        </w:rPr>
        <w:t>5.1. O fornecedor terá seu registro suspenso ou cancelado, facultada a defesa prévia do interessado, no prazo de 5 (cinco) dias úteis, nos seguintes casos: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 - pela Administração, quando:</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o fornecedor não cumprir as exigências do instrumento convocatório que der origem ao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b) o fornecedor recusar-se a assinar a ata ou a formalizar contrato decorrente do registro de preços, ressalvada a hipótese de</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a Administração aceitar sua justificativa;</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c) o fornecedor der causa à rescisão de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d) em qualquer das hipóteses de inexecução total ou parcial do contrato decorrente do registro de preços;</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e) os preços registrados se apresentarem superiores aos praticados pelo mercado;</w:t>
      </w:r>
    </w:p>
    <w:p>
      <w:pPr>
        <w:pStyle w:val="Corpodetexto22"/>
        <w:widowControl/>
        <w:suppressAutoHyphens w:val="true"/>
        <w:bidi w:val="0"/>
        <w:spacing w:lineRule="auto" w:line="300" w:before="0" w:after="0"/>
        <w:ind w:left="1020" w:right="0" w:hanging="0"/>
        <w:jc w:val="both"/>
        <w:rPr/>
      </w:pPr>
      <w:r>
        <w:rPr>
          <w:rFonts w:cs="Arial"/>
          <w:bCs/>
          <w:color w:val="000000"/>
          <w:sz w:val="21"/>
          <w:szCs w:val="21"/>
        </w:rPr>
        <w:t>f) por razões de interesse público, devidamente fundamentadas.</w:t>
      </w:r>
    </w:p>
    <w:p>
      <w:pPr>
        <w:pStyle w:val="Corpodetexto22"/>
        <w:spacing w:lineRule="auto" w:line="300" w:before="0" w:after="0"/>
        <w:ind w:left="0" w:right="0" w:hanging="0"/>
        <w:jc w:val="both"/>
        <w:rPr>
          <w:rFonts w:cs="Arial"/>
          <w:bCs/>
          <w:color w:val="000000"/>
          <w:sz w:val="21"/>
          <w:szCs w:val="21"/>
        </w:rPr>
      </w:pPr>
      <w:r>
        <w:rPr>
          <w:rFonts w:cs="Arial"/>
          <w:bCs/>
          <w:color w:val="000000"/>
          <w:sz w:val="21"/>
          <w:szCs w:val="21"/>
        </w:rPr>
      </w:r>
    </w:p>
    <w:p>
      <w:pPr>
        <w:pStyle w:val="Corpodetexto22"/>
        <w:spacing w:lineRule="auto" w:line="300" w:before="0" w:after="0"/>
        <w:ind w:left="0" w:right="0" w:hanging="0"/>
        <w:jc w:val="both"/>
        <w:rPr/>
      </w:pPr>
      <w:r>
        <w:rPr>
          <w:rFonts w:cs="Arial"/>
          <w:bCs/>
          <w:color w:val="000000"/>
          <w:sz w:val="21"/>
          <w:szCs w:val="21"/>
        </w:rPr>
        <w:tab/>
        <w:t>II - pelo fornecedor quando, mediante solicitação por escrito, comprovar a impossibilidade de cumprir as exigências do instrumento convocatório que deu origem ao registro de preços.</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color w:val="000000"/>
          <w:sz w:val="21"/>
          <w:szCs w:val="21"/>
        </w:rPr>
        <w:t>5.1.1. A comunicação do cancelamento da ata de registro de preços, será formalizada através do e-mail indicado na fase de credenciamento do fornecedor.</w:t>
      </w:r>
    </w:p>
    <w:p>
      <w:pPr>
        <w:pStyle w:val="Corpodetexto22"/>
        <w:spacing w:lineRule="auto" w:line="300" w:before="0" w:after="0"/>
        <w:ind w:left="0" w:right="0" w:hanging="0"/>
        <w:jc w:val="both"/>
        <w:rPr>
          <w:rFonts w:cs="Arial"/>
          <w:bCs/>
          <w:color w:val="000000"/>
        </w:rPr>
      </w:pPr>
      <w:r>
        <w:rPr>
          <w:rFonts w:cs="Arial"/>
          <w:bCs/>
          <w:color w:val="000000"/>
        </w:rPr>
      </w:r>
    </w:p>
    <w:p>
      <w:pPr>
        <w:pStyle w:val="Corpodetexto22"/>
        <w:spacing w:lineRule="auto" w:line="300" w:before="0" w:after="0"/>
        <w:ind w:left="0" w:right="0" w:hanging="0"/>
        <w:jc w:val="both"/>
        <w:rPr>
          <w:sz w:val="21"/>
          <w:szCs w:val="21"/>
        </w:rPr>
      </w:pPr>
      <w:r>
        <w:rPr>
          <w:rFonts w:cs="Arial"/>
          <w:bCs/>
          <w:sz w:val="21"/>
          <w:szCs w:val="21"/>
        </w:rPr>
        <w:t>5.1.2. Nos casos de não confirmação do recebimento, será considerada válida a comunicação a partir do 2º dia útil da data de envio.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eastAsia="Times New Roman" w:cs="Arial"/>
          <w:b/>
          <w:b/>
          <w:bCs/>
          <w:sz w:val="21"/>
          <w:szCs w:val="21"/>
        </w:rPr>
      </w:pPr>
      <w:r>
        <w:rPr>
          <w:rFonts w:eastAsia="Times New Roman" w:cs="Arial" w:ascii="Arial" w:hAnsi="Arial"/>
          <w:b/>
          <w:bCs/>
          <w:sz w:val="21"/>
          <w:szCs w:val="21"/>
        </w:rPr>
        <w:t>CLÁUSULA SEXTA – DA FISCALIZAÇÃO DA ATA DE REGISTRO DE PREÇOS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sz w:val="21"/>
          <w:szCs w:val="21"/>
        </w:rPr>
        <w:t xml:space="preserve">6.1 </w:t>
      </w:r>
      <w:r>
        <w:rPr>
          <w:rFonts w:eastAsia="Times New Roman" w:cs="Arial" w:ascii="Arial" w:hAnsi="Arial"/>
          <w:color w:val="000000"/>
          <w:sz w:val="21"/>
          <w:szCs w:val="21"/>
        </w:rPr>
        <w:t>A fiscalização da execução do objeto contratado será realizada pelo Gestor e Fiscal indicados pelas Secretarias envolvidas no momento da elaboração da Ata de registro de preço/contrato.</w:t>
      </w:r>
    </w:p>
    <w:p>
      <w:pPr>
        <w:pStyle w:val="Normal"/>
        <w:widowControl/>
        <w:suppressAutoHyphens w:val="true"/>
        <w:bidi w:val="0"/>
        <w:spacing w:lineRule="auto" w:line="300"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6.2. Em conformidade com o art. 117 da Lei Federal n. 14.133/2021, o Município designará fiscal de contrato e representante da administração pública para acompanhamento e fiscalização da execução de Ata de Registro de Preços/Contrato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Liberation Serif" w:hAnsi="Liberation Serif" w:eastAsia="SimSun" w:cs="Mangal"/>
          <w:color w:val="00000A"/>
          <w:sz w:val="24"/>
          <w:szCs w:val="24"/>
          <w:lang w:val="pt-BR" w:eastAsia="zh-CN" w:bidi="hi-IN"/>
        </w:rPr>
      </w:pPr>
      <w:r>
        <w:rPr>
          <w:rFonts w:eastAsia="SimSun" w:cs="Mangal" w:ascii="Liberation Serif" w:hAnsi="Liberation Serif"/>
          <w:color w:val="00000A"/>
          <w:sz w:val="24"/>
          <w:szCs w:val="24"/>
          <w:lang w:val="pt-BR" w:eastAsia="zh-CN" w:bidi="hi-IN"/>
        </w:rPr>
      </w:r>
    </w:p>
    <w:p>
      <w:pPr>
        <w:pStyle w:val="Normal"/>
        <w:spacing w:lineRule="auto" w:line="276" w:before="0" w:after="0"/>
        <w:ind w:left="0" w:right="0" w:hanging="0"/>
        <w:jc w:val="both"/>
        <w:rPr>
          <w:rFonts w:ascii="Arial" w:hAnsi="Arial" w:eastAsia="Times New Roman" w:cs="Arial"/>
          <w:sz w:val="21"/>
          <w:szCs w:val="21"/>
        </w:rPr>
      </w:pPr>
      <w:r>
        <w:rPr>
          <w:rFonts w:eastAsia="Times New Roman" w:cs="Arial" w:ascii="Arial" w:hAnsi="Arial"/>
          <w:bCs/>
          <w:color w:val="000000"/>
          <w:sz w:val="21"/>
          <w:szCs w:val="21"/>
        </w:rPr>
        <w:t>6.3. Caberá ao gestor da Ata de Registro de Preços/Contrato,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pPr>
      <w:r>
        <w:rPr>
          <w:rFonts w:cs="Arial" w:ascii="Arial" w:hAnsi="Arial"/>
          <w:b/>
          <w:bCs/>
          <w:color w:val="000000"/>
          <w:sz w:val="21"/>
          <w:szCs w:val="21"/>
          <w:lang w:eastAsia="zxx"/>
        </w:rPr>
        <w:t xml:space="preserve">CLÁUSULA SÉTIMA – </w:t>
      </w:r>
      <w:r>
        <w:rPr>
          <w:rFonts w:ascii="Arial" w:hAnsi="Arial"/>
          <w:b/>
          <w:sz w:val="21"/>
          <w:szCs w:val="21"/>
        </w:rPr>
        <w:t>DA VINCULAÇÃO AO PROCESSO LICITATÓRIO</w:t>
      </w:r>
    </w:p>
    <w:p>
      <w:pPr>
        <w:pStyle w:val="Normal"/>
        <w:spacing w:before="0" w:after="0"/>
        <w:jc w:val="left"/>
        <w:rPr>
          <w:rFonts w:ascii="Arial" w:hAnsi="Arial"/>
          <w:sz w:val="21"/>
          <w:szCs w:val="21"/>
        </w:rPr>
      </w:pPr>
      <w:r>
        <w:rPr>
          <w:rFonts w:ascii="Arial" w:hAnsi="Arial"/>
          <w:sz w:val="21"/>
          <w:szCs w:val="21"/>
        </w:rPr>
      </w:r>
    </w:p>
    <w:p>
      <w:pPr>
        <w:pStyle w:val="Normal"/>
        <w:spacing w:before="0" w:after="0"/>
        <w:jc w:val="both"/>
        <w:rPr>
          <w:rFonts w:ascii="Arial" w:hAnsi="Arial"/>
          <w:sz w:val="21"/>
          <w:szCs w:val="21"/>
        </w:rPr>
      </w:pPr>
      <w:r>
        <w:rPr>
          <w:rFonts w:ascii="Arial" w:hAnsi="Arial"/>
          <w:sz w:val="21"/>
          <w:szCs w:val="21"/>
        </w:rPr>
        <w:t>7.1. A presente Ata de Registro de Preços está vinculada ao Processo Licitatório Nº 97/2024, Pregão Eletrônico nº 15/2024.</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OITAVA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8.4.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rPr>
        <w:t>CLÁUSULA NONA - ANTICORRUPÇÃO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9.1.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spacing w:before="0" w:after="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sz w:val="21"/>
          <w:szCs w:val="21"/>
          <w:lang w:eastAsia="zxx"/>
        </w:rPr>
        <w:t>CLÁUSULA DÉCIMA - DAS DISPOSIÇÕES FINAIS E DO FORO</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10.1. A empresa acima descrita passará a ser denominada detentora da Ata de Registro de Preços após a assinatura desta.</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t>10.2. Os casos omissos serão resolvidos de acordo com a Lei Federal nº 14.133/2021, Decreto Municipal nº 4.072/2024 e demais normas aplicáveis.</w:t>
      </w:r>
    </w:p>
    <w:p>
      <w:pPr>
        <w:pStyle w:val="Normal"/>
        <w:spacing w:lineRule="auto" w:line="276" w:before="0" w:after="0"/>
        <w:ind w:left="0" w:right="0" w:hanging="0"/>
        <w:jc w:val="both"/>
        <w:rPr>
          <w:rFonts w:ascii="Arial" w:hAnsi="Arial" w:cs="Arial"/>
          <w:bCs/>
          <w:color w:val="000000"/>
          <w:sz w:val="21"/>
          <w:szCs w:val="21"/>
          <w:lang w:eastAsia="zxx"/>
        </w:rPr>
      </w:pPr>
      <w:r>
        <w:rPr>
          <w:rFonts w:cs="Arial" w:ascii="Arial" w:hAnsi="Arial"/>
          <w:bCs/>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t>10.3. Fica eleito o Foro da Comarca de Ipumirim - SC para dirimir quaisquer questões decorrentes da utilização da presente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Lindóia do Sul, SC ______ de xxxxx de 2024.</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b/>
          <w:b/>
          <w:bCs/>
          <w:color w:val="000000"/>
          <w:sz w:val="21"/>
          <w:szCs w:val="21"/>
          <w:lang w:eastAsia="zxx"/>
        </w:rPr>
      </w:pPr>
      <w:r>
        <w:rPr>
          <w:rFonts w:cs="Arial" w:ascii="Arial" w:hAnsi="Arial"/>
          <w:b/>
          <w:bCs/>
          <w:color w:val="000000"/>
          <w:kern w:val="2"/>
          <w:sz w:val="21"/>
          <w:szCs w:val="21"/>
          <w:lang w:eastAsia="zxx"/>
        </w:rPr>
        <w:t>Neudi Angelo Bertol</w:t>
        <w:tab/>
        <w:tab/>
        <w:tab/>
        <w:tab/>
        <w:tab/>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Prefeito Municipal</w:t>
        <w:tab/>
        <w:tab/>
        <w:tab/>
        <w:tab/>
        <w:tab/>
        <w:t>Detentor da Ata</w:t>
      </w:r>
    </w:p>
    <w:p>
      <w:pPr>
        <w:pStyle w:val="Normal"/>
        <w:spacing w:lineRule="auto" w:line="276" w:before="0" w:after="0"/>
        <w:ind w:left="0" w:right="0" w:hanging="0"/>
        <w:jc w:val="both"/>
        <w:rPr>
          <w:rFonts w:cs="Arial"/>
          <w:bCs/>
          <w:kern w:val="2"/>
        </w:rPr>
      </w:pPr>
      <w:r>
        <w:rPr>
          <w:rFonts w:cs="Arial"/>
          <w:bCs/>
          <w:kern w:val="2"/>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Testemunhas:</w:t>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color w:val="000000"/>
          <w:sz w:val="21"/>
          <w:szCs w:val="21"/>
          <w:lang w:eastAsia="zxx"/>
        </w:rPr>
      </w:r>
    </w:p>
    <w:p>
      <w:pPr>
        <w:pStyle w:val="Normal"/>
        <w:spacing w:lineRule="auto" w:line="276" w:before="0" w:after="0"/>
        <w:ind w:left="0" w:right="0" w:hanging="0"/>
        <w:jc w:val="both"/>
        <w:rPr>
          <w:rFonts w:ascii="Arial" w:hAnsi="Arial" w:cs="Arial"/>
          <w:color w:val="000000"/>
          <w:sz w:val="21"/>
          <w:szCs w:val="21"/>
          <w:lang w:eastAsia="zxx"/>
        </w:rPr>
      </w:pPr>
      <w:r>
        <w:rPr>
          <w:rFonts w:cs="Arial" w:ascii="Arial" w:hAnsi="Arial"/>
          <w:bCs/>
          <w:color w:val="000000"/>
          <w:kern w:val="2"/>
          <w:sz w:val="21"/>
          <w:szCs w:val="21"/>
          <w:lang w:eastAsia="zxx"/>
        </w:rPr>
        <w:t>Nome:</w:t>
        <w:tab/>
        <w:tab/>
        <w:tab/>
        <w:tab/>
        <w:tab/>
        <w:tab/>
        <w:tab/>
        <w:t>Nome:</w:t>
      </w:r>
    </w:p>
    <w:p>
      <w:pPr>
        <w:pStyle w:val="Normal"/>
        <w:spacing w:lineRule="auto" w:line="276" w:before="0" w:after="0"/>
        <w:ind w:left="0" w:right="0" w:hanging="0"/>
        <w:jc w:val="both"/>
        <w:rPr>
          <w:rFonts w:ascii="Arial" w:hAnsi="Arial" w:cs="Arial"/>
          <w:color w:val="000000"/>
          <w:sz w:val="21"/>
          <w:szCs w:val="21"/>
          <w:lang w:eastAsia="zxx"/>
        </w:rPr>
      </w:pPr>
      <w:bookmarkStart w:id="6" w:name="_Hlk166661777"/>
      <w:bookmarkStart w:id="7" w:name="_Hlk1038461171"/>
      <w:bookmarkStart w:id="8" w:name="_Hlk103846117"/>
      <w:bookmarkStart w:id="9" w:name="_Hlk166662625"/>
      <w:bookmarkStart w:id="10" w:name="_Hlk166662798"/>
      <w:bookmarkStart w:id="11" w:name="_Hlk1038461172"/>
      <w:bookmarkStart w:id="12" w:name="_Hlk1291862591"/>
      <w:bookmarkStart w:id="13" w:name="_Hlk129186259"/>
      <w:bookmarkStart w:id="14" w:name="_Hlk129160896"/>
      <w:bookmarkStart w:id="15" w:name="_Hlk132190501"/>
      <w:bookmarkStart w:id="16" w:name="_Hlk129156372"/>
      <w:r>
        <w:rPr>
          <w:rFonts w:cs="Arial" w:ascii="Arial" w:hAnsi="Arial"/>
          <w:bCs/>
          <w:color w:val="000000"/>
          <w:kern w:val="2"/>
          <w:sz w:val="21"/>
          <w:szCs w:val="21"/>
          <w:lang w:eastAsia="zxx"/>
        </w:rPr>
        <w:t>CPF:</w:t>
        <w:tab/>
        <w:tab/>
        <w:tab/>
        <w:tab/>
        <w:tab/>
        <w:tab/>
        <w:tab/>
        <w:t>CPF:</w:t>
      </w:r>
      <w:bookmarkEnd w:id="6"/>
      <w:bookmarkEnd w:id="7"/>
      <w:bookmarkEnd w:id="8"/>
      <w:bookmarkEnd w:id="9"/>
      <w:bookmarkEnd w:id="10"/>
      <w:bookmarkEnd w:id="11"/>
      <w:bookmarkEnd w:id="12"/>
      <w:bookmarkEnd w:id="13"/>
      <w:bookmarkEnd w:id="14"/>
      <w:bookmarkEnd w:id="15"/>
      <w:bookmarkEnd w:id="16"/>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1"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8">
    <w:lvl w:ilvl="0">
      <w:start w:val="1"/>
      <w:numFmt w:val="upperRoman"/>
      <w:lvlText w:val="%1."/>
      <w:lvlJc w:val="right"/>
      <w:pPr>
        <w:tabs>
          <w:tab w:val="num" w:pos="0"/>
        </w:tabs>
        <w:ind w:left="1418" w:hanging="284"/>
      </w:pPr>
      <w:rPr>
        <w:rFonts w:ascii="Symbol" w:hAnsi="Symbol" w:cs="Symbol"/>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sid w:val="00757293"/>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rsid w:val="00757293"/>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basedOn w:val="DefaultParagraphFont"/>
    <w:uiPriority w:val="99"/>
    <w:semiHidden/>
    <w:unhideWhenUsed/>
    <w:qFormat/>
    <w:rsid w:val="004a0025"/>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Refdenotadefim">
    <w:name w:val="Ref. de nota de fim"/>
    <w:qFormat/>
    <w:rPr>
      <w:vertAlign w:val="superscript"/>
    </w:rPr>
  </w:style>
  <w:style w:type="character" w:styleId="WWCaracteresdenotadefim">
    <w:name w:val="WW-Caracteres de nota de fim"/>
    <w:qFormat/>
    <w:rPr/>
  </w:style>
  <w:style w:type="character" w:styleId="Refdenotaderodap">
    <w:name w:val="Ref. de nota de rodapé"/>
    <w:qFormat/>
    <w:rPr>
      <w:vertAlign w:val="superscript"/>
    </w:rPr>
  </w:style>
  <w:style w:type="character" w:styleId="Fontepargpadro">
    <w:name w:val="Fonte parág. padrão"/>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3">
    <w:name w:val="WW8Num3z3"/>
    <w:qFormat/>
    <w:rPr/>
  </w:style>
  <w:style w:type="character" w:styleId="WW8Num3z2">
    <w:name w:val="WW8Num3z2"/>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1">
    <w:name w:val="WW8Num2z1"/>
    <w:qFormat/>
    <w:rPr/>
  </w:style>
  <w:style w:type="character" w:styleId="Caracteresdenotaderodap">
    <w:name w:val="Caracteres de nota de rodapé"/>
    <w:qFormat/>
    <w:rPr/>
  </w:style>
  <w:style w:type="character" w:styleId="Ncoradanotaderodap">
    <w:name w:val="Footnote Reference"/>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3"/>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6"/>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4"/>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5"/>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PargrafodaLista">
    <w:name w:val="Parágrafo da Lista"/>
    <w:basedOn w:val="Normal"/>
    <w:qFormat/>
    <w:pPr>
      <w:spacing w:lineRule="exact" w:line="240"/>
      <w:ind w:left="708" w:hanging="0"/>
    </w:pPr>
    <w:rPr>
      <w:rFonts w:ascii="Liberation Serif" w:hAnsi="Liberation Serif" w:eastAsia="Mangal"/>
      <w:sz w:val="24"/>
    </w:rPr>
  </w:style>
  <w:style w:type="paragraph" w:styleId="Xmsonormal">
    <w:name w:val="x_msonormal"/>
    <w:basedOn w:val="Normal"/>
    <w:qFormat/>
    <w:pPr>
      <w:suppressAutoHyphens w:val="false"/>
      <w:spacing w:lineRule="exact" w:line="240"/>
    </w:pPr>
    <w:rPr>
      <w:rFonts w:ascii="Times New Roman" w:hAnsi="Times New Roman" w:eastAsia="Times New Roman"/>
      <w:sz w:val="24"/>
    </w:rPr>
  </w:style>
  <w:style w:type="paragraph" w:styleId="Ttulo21">
    <w:name w:val="Título2"/>
    <w:basedOn w:val="Normal"/>
    <w:qFormat/>
    <w:pPr>
      <w:keepNext w:val="true"/>
      <w:spacing w:lineRule="exact" w:line="240" w:before="240" w:after="120"/>
    </w:pPr>
    <w:rPr>
      <w:rFonts w:ascii="Liberation Sans" w:hAnsi="Liberation Sans" w:eastAsia="Liberation Sans"/>
      <w:sz w:val="28"/>
    </w:rPr>
  </w:style>
  <w:style w:type="paragraph" w:styleId="CimTextoNormal">
    <w:name w:val="Cim_Texto_Normal"/>
    <w:basedOn w:val="Normal"/>
    <w:qFormat/>
    <w:pPr>
      <w:spacing w:lineRule="exact" w:line="360" w:before="120" w:after="240"/>
      <w:ind w:firstLine="709"/>
      <w:contextualSpacing/>
      <w:jc w:val="both"/>
    </w:pPr>
    <w:rPr/>
  </w:style>
  <w:style w:type="paragraph" w:styleId="Contedodetabela">
    <w:name w:val="Conteúdo de tabela"/>
    <w:basedOn w:val="Normal"/>
    <w:qFormat/>
    <w:pPr/>
    <w:rPr/>
  </w:style>
  <w:style w:type="paragraph" w:styleId="Notaderodap">
    <w:name w:val="Footnote Text"/>
    <w:basedOn w:val="Normal"/>
    <w:pPr/>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WW8Num2">
    <w:name w:val="WW8Num2"/>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hyperlink" Target="mailto:licita@lindoiadosul.sc.gov.b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24525</TotalTime>
  <Application>LibreOffice/7.4.2.3$Windows_X86_64 LibreOffice_project/382eef1f22670f7f4118c8c2dd222ec7ad009daf</Application>
  <AppVersion>15.0000</AppVersion>
  <Pages>73</Pages>
  <Words>21745</Words>
  <Characters>122139</Characters>
  <CharactersWithSpaces>142927</CharactersWithSpaces>
  <Paragraphs>1211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2024-05-20T10:16:00Z</dcterms:created>
  <dc:creator>EDULDS</dc:creator>
  <dc:description/>
  <dc:language>pt-BR</dc:language>
  <cp:lastModifiedBy/>
  <cp:lastPrinted>2024-05-28T09:49:07Z</cp:lastPrinted>
  <dcterms:modified xsi:type="dcterms:W3CDTF">2024-10-09T14:52:29Z</dcterms:modified>
  <cp:revision>233</cp:revision>
  <dc:subject/>
  <dc:title/>
</cp:coreProperties>
</file>

<file path=docProps/custom.xml><?xml version="1.0" encoding="utf-8"?>
<Properties xmlns="http://schemas.openxmlformats.org/officeDocument/2006/custom-properties" xmlns:vt="http://schemas.openxmlformats.org/officeDocument/2006/docPropsVTypes"/>
</file>