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Arial" w:hAnsi="Arial"/>
        </w:rPr>
      </w:pPr>
      <w:r>
        <w:rPr>
          <w:rFonts w:ascii="Arial" w:hAnsi="Arial"/>
          <w:b/>
          <w:sz w:val="21"/>
          <w:szCs w:val="21"/>
        </w:rPr>
        <w:t>PROCESSO LICITATÓRIO Nº 13</w:t>
      </w:r>
      <w:r>
        <w:rPr>
          <w:rFonts w:ascii="Arial" w:hAnsi="Arial"/>
          <w:b/>
          <w:sz w:val="21"/>
          <w:szCs w:val="21"/>
        </w:rPr>
        <w:t>6</w:t>
      </w:r>
      <w:r>
        <w:rPr>
          <w:rFonts w:ascii="Arial" w:hAnsi="Arial"/>
          <w:b/>
          <w:sz w:val="21"/>
          <w:szCs w:val="21"/>
        </w:rPr>
        <w:t>/2024</w:t>
      </w:r>
    </w:p>
    <w:p>
      <w:pPr>
        <w:pStyle w:val="Normal"/>
        <w:spacing w:lineRule="auto" w:line="276" w:before="0" w:after="0"/>
        <w:rPr>
          <w:rFonts w:ascii="Arial" w:hAnsi="Arial"/>
        </w:rPr>
      </w:pPr>
      <w:r>
        <w:rPr>
          <w:rFonts w:ascii="Arial" w:hAnsi="Arial"/>
          <w:b/>
          <w:sz w:val="21"/>
          <w:szCs w:val="21"/>
        </w:rPr>
        <w:t>DISPENSA DE LICITAÇÃO Nº 8</w:t>
      </w:r>
      <w:r>
        <w:rPr>
          <w:rFonts w:ascii="Arial" w:hAnsi="Arial"/>
          <w:b/>
          <w:sz w:val="21"/>
          <w:szCs w:val="21"/>
        </w:rPr>
        <w:t>7/</w:t>
      </w:r>
      <w:r>
        <w:rPr>
          <w:rFonts w:ascii="Arial" w:hAnsi="Arial"/>
          <w:b/>
          <w:sz w:val="21"/>
          <w:szCs w:val="21"/>
        </w:rPr>
        <w:t>2024</w:t>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rPr>
      </w:pPr>
      <w:r>
        <w:rPr>
          <w:rFonts w:ascii="Arial" w:hAnsi="Arial"/>
          <w:b/>
          <w:sz w:val="21"/>
          <w:szCs w:val="21"/>
        </w:rPr>
        <w:t>MINUTA DIVULGAÇÃO DE DISPENSA DE LICITAÇÃO</w:t>
      </w:r>
    </w:p>
    <w:p>
      <w:pPr>
        <w:pStyle w:val="Normal"/>
        <w:spacing w:lineRule="auto" w:line="360" w:before="0" w:after="0"/>
        <w:jc w:val="both"/>
        <w:rPr>
          <w:rFonts w:ascii="Arial" w:hAnsi="Arial"/>
          <w:bCs/>
          <w:iCs/>
          <w:sz w:val="21"/>
          <w:szCs w:val="21"/>
        </w:rPr>
      </w:pPr>
      <w:r>
        <w:rPr>
          <w:rFonts w:ascii="Arial" w:hAnsi="Arial"/>
          <w:bCs/>
          <w:iCs/>
          <w:sz w:val="21"/>
          <w:szCs w:val="21"/>
        </w:rPr>
      </w:r>
    </w:p>
    <w:p>
      <w:pPr>
        <w:pStyle w:val="Normal"/>
        <w:spacing w:lineRule="auto" w:line="360" w:before="0" w:after="0"/>
        <w:jc w:val="both"/>
        <w:rPr>
          <w:rFonts w:ascii="Arial" w:hAnsi="Arial"/>
        </w:rPr>
      </w:pPr>
      <w:r>
        <w:rPr>
          <w:rFonts w:eastAsia="Times New Roman" w:cs="Arial" w:ascii="Arial" w:hAnsi="Arial"/>
          <w:bCs/>
          <w:iCs/>
          <w:sz w:val="21"/>
          <w:szCs w:val="21"/>
          <w:lang w:eastAsia="pt-BR"/>
        </w:rPr>
        <w:t xml:space="preserve">A Prefeitura Municipal de Lindoia do Sul/SC, Estado de Santa Catarina, inscrito no CNPJ nº 78.510.112/0001-80, </w:t>
      </w:r>
      <w:r>
        <w:rPr>
          <w:rFonts w:ascii="Arial" w:hAnsi="Arial"/>
          <w:iCs/>
          <w:sz w:val="21"/>
          <w:szCs w:val="21"/>
        </w:rPr>
        <w:t xml:space="preserve">torna público para conhecimento de todos os </w:t>
      </w:r>
      <w:r>
        <w:rPr>
          <w:rFonts w:ascii="Arial" w:hAnsi="Arial"/>
          <w:sz w:val="21"/>
          <w:szCs w:val="21"/>
        </w:rPr>
        <w:t xml:space="preserve">interessados que realizará processo de dispensa de licitação conforme objeto abaixo, nos termos do art. 75, inciso II, da Lei Federal n. 14.133/2021 e conforme previsto pelo Decreto n. 4.072/2024 do </w:t>
      </w:r>
      <w:r>
        <w:rPr>
          <w:rFonts w:eastAsia="Times New Roman" w:cs="Arial" w:ascii="Arial" w:hAnsi="Arial"/>
          <w:bCs/>
          <w:iCs/>
          <w:sz w:val="21"/>
          <w:szCs w:val="21"/>
          <w:lang w:eastAsia="pt-BR"/>
        </w:rPr>
        <w:t>Município de Lindoia do Sul/SC</w:t>
      </w:r>
      <w:r>
        <w:rPr>
          <w:rFonts w:ascii="Arial" w:hAnsi="Arial"/>
          <w:sz w:val="21"/>
          <w:szCs w:val="21"/>
        </w:rPr>
        <w:t>.</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center"/>
        <w:rPr>
          <w:rFonts w:ascii="Arial" w:hAnsi="Arial"/>
        </w:rPr>
      </w:pPr>
      <w:r>
        <w:rPr>
          <w:rFonts w:ascii="Arial" w:hAnsi="Arial"/>
          <w:b/>
          <w:sz w:val="21"/>
          <w:szCs w:val="21"/>
        </w:rPr>
        <w:t>I – DO OBJETO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eastAsia="Calibri" w:ascii="Arial" w:hAnsi="Arial" w:eastAsiaTheme="minorHAnsi"/>
          <w:sz w:val="21"/>
          <w:szCs w:val="21"/>
          <w:shd w:fill="auto" w:val="clear"/>
        </w:rPr>
        <w:t xml:space="preserve">1.1. </w:t>
      </w:r>
      <w:r>
        <w:rPr>
          <w:rFonts w:eastAsia="Calibri" w:ascii="Arial" w:hAnsi="Arial" w:eastAsiaTheme="minorHAnsi"/>
          <w:bCs/>
          <w:sz w:val="21"/>
          <w:szCs w:val="21"/>
          <w:shd w:fill="auto" w:val="clear"/>
        </w:rPr>
        <w:t>O objeto deste processo compreende a</w:t>
      </w:r>
      <w:r>
        <w:rPr>
          <w:rFonts w:eastAsia="Calibri" w:ascii="Arial" w:hAnsi="Arial" w:eastAsiaTheme="minorHAnsi"/>
          <w:bCs/>
          <w:color w:val="000000"/>
          <w:sz w:val="21"/>
          <w:szCs w:val="21"/>
          <w:shd w:fill="auto" w:val="clear"/>
        </w:rPr>
        <w:t xml:space="preserve"> c</w:t>
      </w:r>
      <w:r>
        <w:rPr>
          <w:rFonts w:eastAsia="Calibri" w:ascii="Arial" w:hAnsi="Arial" w:eastAsiaTheme="minorHAnsi"/>
          <w:b w:val="false"/>
          <w:bCs/>
          <w:i w:val="false"/>
          <w:caps w:val="false"/>
          <w:smallCaps w:val="false"/>
          <w:color w:val="000000"/>
          <w:spacing w:val="0"/>
          <w:sz w:val="21"/>
          <w:szCs w:val="21"/>
          <w:shd w:fill="auto" w:val="clear"/>
        </w:rPr>
        <w:t>ontratação direta de empresa para compra de equipamentos e utensílios para apicultura, conforme especificações constantes no Termo de Referência.</w:t>
      </w:r>
      <w:r>
        <w:rPr>
          <w:rFonts w:eastAsia="Calibri" w:ascii="Arial" w:hAnsi="Arial" w:eastAsiaTheme="minorHAnsi"/>
          <w:bCs/>
          <w:color w:val="000000"/>
          <w:sz w:val="21"/>
          <w:szCs w:val="21"/>
          <w:shd w:fill="auto" w:val="clear"/>
        </w:rPr>
        <w:t xml:space="preserve"> </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1.2. Segue a descrição do objeto que se pretende contratar, com valor estimado de referência:</w:t>
      </w:r>
    </w:p>
    <w:p>
      <w:pPr>
        <w:pStyle w:val="Normal"/>
        <w:spacing w:lineRule="auto" w:line="360" w:before="0" w:after="0"/>
        <w:jc w:val="center"/>
        <w:rPr>
          <w:rFonts w:ascii="Arial" w:hAnsi="Arial"/>
          <w:sz w:val="21"/>
          <w:szCs w:val="21"/>
        </w:rPr>
      </w:pPr>
      <w:r>
        <w:rPr>
          <w:rFonts w:ascii="Arial" w:hAnsi="Arial"/>
          <w:sz w:val="21"/>
          <w:szCs w:val="21"/>
        </w:rPr>
      </w:r>
    </w:p>
    <w:tbl>
      <w:tblPr>
        <w:tblW w:w="10560" w:type="dxa"/>
        <w:jc w:val="left"/>
        <w:tblInd w:w="-961" w:type="dxa"/>
        <w:tblLayout w:type="fixed"/>
        <w:tblCellMar>
          <w:top w:w="0" w:type="dxa"/>
          <w:left w:w="70" w:type="dxa"/>
          <w:bottom w:w="0" w:type="dxa"/>
          <w:right w:w="70" w:type="dxa"/>
        </w:tblCellMar>
      </w:tblPr>
      <w:tblGrid>
        <w:gridCol w:w="705"/>
        <w:gridCol w:w="735"/>
        <w:gridCol w:w="829"/>
        <w:gridCol w:w="5621"/>
        <w:gridCol w:w="1260"/>
        <w:gridCol w:w="1409"/>
      </w:tblGrid>
      <w:tr>
        <w:trPr>
          <w:tblHeader w:val="true"/>
          <w:trHeight w:val="567" w:hRule="atLeast"/>
        </w:trPr>
        <w:tc>
          <w:tcPr>
            <w:tcW w:w="705"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bookmarkStart w:id="0" w:name="_Hlk128582997"/>
            <w:bookmarkStart w:id="1" w:name="_Hlk141098965"/>
            <w:bookmarkEnd w:id="0"/>
            <w:bookmarkEnd w:id="1"/>
            <w:r>
              <w:rPr>
                <w:rFonts w:eastAsia="Times New Roman" w:ascii="Arial" w:hAnsi="Arial"/>
                <w:b/>
                <w:bCs/>
                <w:color w:val="000000"/>
                <w:sz w:val="21"/>
                <w:szCs w:val="21"/>
                <w:lang w:val="pt-BR" w:eastAsia="pt-BR"/>
              </w:rPr>
              <w:t>ITEM</w:t>
            </w:r>
          </w:p>
        </w:tc>
        <w:tc>
          <w:tcPr>
            <w:tcW w:w="735"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QTD</w:t>
            </w:r>
          </w:p>
        </w:tc>
        <w:tc>
          <w:tcPr>
            <w:tcW w:w="829"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UNIDADE</w:t>
            </w:r>
          </w:p>
        </w:tc>
        <w:tc>
          <w:tcPr>
            <w:tcW w:w="5621" w:type="dxa"/>
            <w:tcBorders>
              <w:top w:val="single" w:sz="8" w:space="0" w:color="000000"/>
              <w:bottom w:val="single" w:sz="8" w:space="0" w:color="000000"/>
              <w:right w:val="single" w:sz="4"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DESCRIÇÃO</w:t>
            </w:r>
          </w:p>
        </w:tc>
        <w:tc>
          <w:tcPr>
            <w:tcW w:w="1260"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 xml:space="preserve">PREÇO ESTIMADO UNITÁRIO </w:t>
            </w:r>
          </w:p>
        </w:tc>
        <w:tc>
          <w:tcPr>
            <w:tcW w:w="1409"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jc w:val="center"/>
              <w:rPr>
                <w:rFonts w:ascii="Arial" w:hAnsi="Arial"/>
              </w:rPr>
            </w:pPr>
            <w:r>
              <w:rPr>
                <w:rFonts w:eastAsia="Times New Roman" w:ascii="Arial" w:hAnsi="Arial"/>
                <w:b/>
                <w:bCs/>
                <w:color w:val="000000"/>
                <w:sz w:val="21"/>
                <w:szCs w:val="21"/>
                <w:lang w:val="pt-BR" w:eastAsia="pt-BR"/>
              </w:rPr>
              <w:t xml:space="preserve">PREÇO </w:t>
            </w:r>
          </w:p>
          <w:p>
            <w:pPr>
              <w:pStyle w:val="Normal"/>
              <w:widowControl w:val="false"/>
              <w:spacing w:lineRule="auto" w:line="240"/>
              <w:jc w:val="center"/>
              <w:rPr>
                <w:rFonts w:ascii="Arial" w:hAnsi="Arial"/>
              </w:rPr>
            </w:pPr>
            <w:r>
              <w:rPr>
                <w:rFonts w:eastAsia="Times New Roman" w:ascii="Arial" w:hAnsi="Arial"/>
                <w:b/>
                <w:bCs/>
                <w:color w:val="000000"/>
                <w:sz w:val="21"/>
                <w:szCs w:val="21"/>
                <w:lang w:val="pt-BR" w:eastAsia="pt-BR"/>
              </w:rPr>
              <w:t>ESTIMADO</w:t>
            </w:r>
          </w:p>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TOTAL</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eastAsia="Calibri" w:ascii="Arial" w:hAnsi="Arial"/>
                <w:sz w:val="21"/>
                <w:szCs w:val="21"/>
                <w:lang w:val="pt-BR" w:eastAsia="en-US"/>
              </w:rPr>
              <w:t>01</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01</w:t>
            </w:r>
          </w:p>
        </w:tc>
        <w:tc>
          <w:tcPr>
            <w:tcW w:w="829"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UN</w:t>
            </w:r>
          </w:p>
        </w:tc>
        <w:tc>
          <w:tcPr>
            <w:tcW w:w="5621"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lang w:val="pt-BR"/>
              </w:rPr>
              <w:t>DECANTADOR 200KG, COM VÁLVULA BORBOLETA EM AÇO INOX, CHAPA ESPESSURA 1MM, CORPO TODO EM AÇO INOX 304, PÉS EM TUBO 30X20 XP. 1,2 EM AÇO INOX 304.</w:t>
            </w:r>
          </w:p>
        </w:tc>
        <w:tc>
          <w:tcPr>
            <w:tcW w:w="126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c>
          <w:tcPr>
            <w:tcW w:w="1409"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eastAsia="Calibri" w:ascii="Arial" w:hAnsi="Arial"/>
                <w:sz w:val="21"/>
                <w:szCs w:val="21"/>
                <w:lang w:val="pt-BR" w:eastAsia="en-US"/>
              </w:rPr>
              <w:t>02</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02</w:t>
            </w:r>
          </w:p>
        </w:tc>
        <w:tc>
          <w:tcPr>
            <w:tcW w:w="829"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UN</w:t>
            </w:r>
          </w:p>
        </w:tc>
        <w:tc>
          <w:tcPr>
            <w:tcW w:w="5621"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lang w:val="pt-BR"/>
              </w:rPr>
              <w:t>MÁQUINA DESOPERCULADORA ELÉTRICA, TODA EM AÇO INOX 304, COM ELOS DE CORRENTE EM INOX 304, CAPACIDADE DE 350 QUADROS POR HORA, MOTOR MONOFÁSICO 1/2CV, VOLTAGEM 127 OU 220.</w:t>
            </w:r>
          </w:p>
        </w:tc>
        <w:tc>
          <w:tcPr>
            <w:tcW w:w="126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R$</w:t>
            </w:r>
          </w:p>
        </w:tc>
        <w:tc>
          <w:tcPr>
            <w:tcW w:w="1409"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R$</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eastAsia="Calibri" w:ascii="Arial" w:hAnsi="Arial"/>
                <w:sz w:val="21"/>
                <w:szCs w:val="21"/>
                <w:lang w:val="pt-BR" w:eastAsia="en-US"/>
              </w:rPr>
              <w:t>03</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06</w:t>
            </w:r>
          </w:p>
        </w:tc>
        <w:tc>
          <w:tcPr>
            <w:tcW w:w="829"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UN</w:t>
            </w:r>
          </w:p>
        </w:tc>
        <w:tc>
          <w:tcPr>
            <w:tcW w:w="5621"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lang w:val="pt-BR"/>
              </w:rPr>
              <w:t>MESA DESOPERCULADORA DE 1,80M, ESPESSURA DA CHAPA 1MM, COM TELA INOX, TORNEIRA CORTE RÁPIDO, PÉS TUBO 30X20 P. 1,2MM COM NIVELADORES DE BORRACHA.</w:t>
            </w:r>
          </w:p>
        </w:tc>
        <w:tc>
          <w:tcPr>
            <w:tcW w:w="126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R$</w:t>
            </w:r>
          </w:p>
        </w:tc>
        <w:tc>
          <w:tcPr>
            <w:tcW w:w="1409"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R$</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eastAsia="Calibri"/>
                <w:sz w:val="21"/>
                <w:szCs w:val="21"/>
                <w:lang w:val="pt-BR" w:eastAsia="en-US"/>
              </w:rPr>
            </w:pPr>
            <w:r>
              <w:rPr>
                <w:rFonts w:eastAsia="Calibri" w:ascii="Arial" w:hAnsi="Arial"/>
                <w:sz w:val="21"/>
                <w:szCs w:val="21"/>
                <w:lang w:val="pt-BR" w:eastAsia="en-US"/>
              </w:rPr>
              <w:t>04</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r>
          </w:p>
        </w:tc>
        <w:tc>
          <w:tcPr>
            <w:tcW w:w="829"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t>UN</w:t>
            </w:r>
          </w:p>
        </w:tc>
        <w:tc>
          <w:tcPr>
            <w:tcW w:w="5621"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DESCRISTALIZADOR PARA MEL COM CAPACIDADE PARA 4 BALDES, FAZ O PROCESSO COM O VAPOR, TODO EM AÇO INOX 304, RESISTÊNCIA DE 300W, VOLTAGEM 127 OU 220, COM GRADE INTERNA PARA APOIO DOS BALDES, POSSUI TERMÔMETRO E SENSOR LIGA E DESLIGA.</w:t>
            </w:r>
          </w:p>
        </w:tc>
        <w:tc>
          <w:tcPr>
            <w:tcW w:w="126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c>
          <w:tcPr>
            <w:tcW w:w="1409"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eastAsia="Calibri"/>
                <w:sz w:val="21"/>
                <w:szCs w:val="21"/>
                <w:lang w:val="pt-BR" w:eastAsia="en-US"/>
              </w:rPr>
            </w:pPr>
            <w:r>
              <w:rPr>
                <w:rFonts w:eastAsia="Calibri" w:ascii="Arial" w:hAnsi="Arial"/>
                <w:sz w:val="21"/>
                <w:szCs w:val="21"/>
                <w:lang w:val="pt-BR" w:eastAsia="en-US"/>
              </w:rPr>
              <w:t>05</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r>
          </w:p>
        </w:tc>
        <w:tc>
          <w:tcPr>
            <w:tcW w:w="829"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t>UN</w:t>
            </w:r>
          </w:p>
        </w:tc>
        <w:tc>
          <w:tcPr>
            <w:tcW w:w="5621"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CENTRÍFUGA ELÉTRICA DE 48 QUADRO, TODA EM AÇO INOX 304, TORNEIRA DE CORTE RÁPIDO EM INOX, COM SEPARADOR DE QUADRO E COM INVERSOR DE FREQUÊNCIA, MOTOR TRIFÁSICO 1/2 CV, PÉS EM TUBO 20X40 P 1,2MM.</w:t>
            </w:r>
          </w:p>
        </w:tc>
        <w:tc>
          <w:tcPr>
            <w:tcW w:w="126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c>
          <w:tcPr>
            <w:tcW w:w="1409"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eastAsia="Calibri"/>
                <w:sz w:val="21"/>
                <w:szCs w:val="21"/>
                <w:lang w:val="pt-BR" w:eastAsia="en-US"/>
              </w:rPr>
            </w:pPr>
            <w:r>
              <w:rPr>
                <w:rFonts w:eastAsia="Calibri" w:ascii="Arial" w:hAnsi="Arial"/>
                <w:sz w:val="21"/>
                <w:szCs w:val="21"/>
                <w:lang w:val="pt-BR" w:eastAsia="en-US"/>
              </w:rPr>
              <w:t>06</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r>
          </w:p>
        </w:tc>
        <w:tc>
          <w:tcPr>
            <w:tcW w:w="829"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t>UN</w:t>
            </w:r>
          </w:p>
        </w:tc>
        <w:tc>
          <w:tcPr>
            <w:tcW w:w="5621"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BALDES EM AÇO INOX DE 25KG.</w:t>
            </w:r>
          </w:p>
        </w:tc>
        <w:tc>
          <w:tcPr>
            <w:tcW w:w="126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c>
          <w:tcPr>
            <w:tcW w:w="1409"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p>
        </w:tc>
      </w:tr>
      <w:tr>
        <w:trPr>
          <w:trHeight w:val="567" w:hRule="atLeast"/>
        </w:trPr>
        <w:tc>
          <w:tcPr>
            <w:tcW w:w="7890" w:type="dxa"/>
            <w:gridSpan w:val="4"/>
            <w:tcBorders>
              <w:top w:val="single" w:sz="4" w:space="0" w:color="000000"/>
            </w:tcBorders>
            <w:vAlign w:val="center"/>
          </w:tcPr>
          <w:p>
            <w:pPr>
              <w:pStyle w:val="Normal"/>
              <w:widowControl w:val="false"/>
              <w:snapToGrid w:val="false"/>
              <w:spacing w:lineRule="auto" w:line="240" w:before="0" w:after="160"/>
              <w:jc w:val="both"/>
              <w:rPr>
                <w:rFonts w:ascii="Arial" w:hAnsi="Arial" w:eastAsia="Times New Roman"/>
                <w:color w:val="000000"/>
                <w:sz w:val="21"/>
                <w:szCs w:val="21"/>
                <w:lang w:val="pt-BR" w:eastAsia="pt-BR"/>
              </w:rPr>
            </w:pPr>
            <w:r>
              <w:rPr>
                <w:rFonts w:eastAsia="Times New Roman" w:ascii="Arial" w:hAnsi="Arial"/>
                <w:color w:val="000000"/>
                <w:sz w:val="21"/>
                <w:szCs w:val="21"/>
                <w:lang w:val="pt-BR" w:eastAsia="pt-BR"/>
              </w:rPr>
            </w:r>
          </w:p>
        </w:tc>
        <w:tc>
          <w:tcPr>
            <w:tcW w:w="1260"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val="pt-BR" w:eastAsia="pt-BR"/>
              </w:rPr>
              <w:t>VALOR TOTAL DA CONTR.</w:t>
            </w:r>
          </w:p>
        </w:tc>
        <w:tc>
          <w:tcPr>
            <w:tcW w:w="1409"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 xml:space="preserve">R$ </w:t>
            </w:r>
            <w:r>
              <w:rPr>
                <w:rFonts w:eastAsia="Times New Roman" w:cs="Calibri" w:ascii="Arial" w:hAnsi="Arial"/>
                <w:color w:val="000000"/>
                <w:sz w:val="21"/>
                <w:szCs w:val="21"/>
                <w:lang w:eastAsia="pt-BR" w:bidi="ar-SA"/>
              </w:rPr>
              <w:t>7.551,29</w:t>
            </w:r>
          </w:p>
        </w:tc>
      </w:tr>
    </w:tbl>
    <w:p>
      <w:pPr>
        <w:pStyle w:val="Normal"/>
        <w:spacing w:lineRule="auto" w:line="360" w:before="0" w:after="0"/>
        <w:jc w:val="center"/>
        <w:rPr>
          <w:rFonts w:ascii="Arial" w:hAnsi="Arial"/>
        </w:rPr>
      </w:pPr>
      <w:r>
        <w:rPr>
          <w:rFonts w:ascii="Arial" w:hAnsi="Arial"/>
        </w:rPr>
      </w:r>
    </w:p>
    <w:p>
      <w:pPr>
        <w:pStyle w:val="Normal"/>
        <w:spacing w:lineRule="auto" w:line="360" w:before="0" w:after="0"/>
        <w:jc w:val="center"/>
        <w:rPr>
          <w:rFonts w:ascii="Arial" w:hAnsi="Arial"/>
        </w:rPr>
      </w:pPr>
      <w:r>
        <w:rPr>
          <w:rFonts w:ascii="Arial" w:hAnsi="Arial"/>
          <w:b/>
          <w:sz w:val="21"/>
          <w:szCs w:val="21"/>
        </w:rPr>
        <w:t>II – DO PRAZO DA DIVULGAÇÃO</w:t>
      </w:r>
    </w:p>
    <w:p>
      <w:pPr>
        <w:pStyle w:val="Normal"/>
        <w:spacing w:lineRule="auto" w:line="360" w:before="0" w:after="0"/>
        <w:jc w:val="both"/>
        <w:rPr>
          <w:rFonts w:ascii="Arial" w:hAnsi="Arial"/>
          <w:bCs/>
          <w:sz w:val="21"/>
          <w:szCs w:val="21"/>
        </w:rPr>
      </w:pPr>
      <w:r>
        <w:rPr>
          <w:rFonts w:ascii="Arial" w:hAnsi="Arial"/>
          <w:bCs/>
          <w:sz w:val="21"/>
          <w:szCs w:val="21"/>
        </w:rPr>
      </w:r>
    </w:p>
    <w:p>
      <w:pPr>
        <w:pStyle w:val="Normal"/>
        <w:spacing w:lineRule="auto" w:line="360" w:before="0" w:after="0"/>
        <w:jc w:val="both"/>
        <w:rPr>
          <w:rFonts w:ascii="Arial" w:hAnsi="Arial"/>
        </w:rPr>
      </w:pPr>
      <w:r>
        <w:rPr>
          <w:rFonts w:ascii="Arial" w:hAnsi="Arial"/>
          <w:bCs/>
          <w:sz w:val="21"/>
          <w:szCs w:val="21"/>
        </w:rPr>
        <w:t xml:space="preserve">2.1. O prazo para apresentação de propostas adicionais pelos eventuais interessados inicia em </w:t>
      </w:r>
      <w:r>
        <w:rPr>
          <w:rFonts w:ascii="Arial" w:hAnsi="Arial"/>
          <w:bCs/>
          <w:sz w:val="21"/>
          <w:szCs w:val="21"/>
        </w:rPr>
        <w:t>29</w:t>
      </w:r>
      <w:r>
        <w:rPr>
          <w:rFonts w:ascii="Arial" w:hAnsi="Arial"/>
          <w:bCs/>
          <w:sz w:val="21"/>
          <w:szCs w:val="21"/>
        </w:rPr>
        <w:t xml:space="preserve"> de </w:t>
      </w:r>
      <w:r>
        <w:rPr>
          <w:rFonts w:ascii="Arial" w:hAnsi="Arial"/>
          <w:bCs/>
          <w:sz w:val="21"/>
          <w:szCs w:val="21"/>
        </w:rPr>
        <w:t>novembro</w:t>
      </w:r>
      <w:r>
        <w:rPr>
          <w:rFonts w:ascii="Arial" w:hAnsi="Arial"/>
          <w:bCs/>
          <w:sz w:val="21"/>
          <w:szCs w:val="21"/>
        </w:rPr>
        <w:t xml:space="preserve"> </w:t>
      </w:r>
      <w:r>
        <w:rPr>
          <w:rFonts w:ascii="Arial" w:hAnsi="Arial"/>
          <w:bCs/>
          <w:color w:val="000000"/>
          <w:sz w:val="21"/>
          <w:szCs w:val="21"/>
        </w:rPr>
        <w:t xml:space="preserve">de 2024 e encerra em </w:t>
      </w:r>
      <w:r>
        <w:rPr>
          <w:rFonts w:ascii="Arial" w:hAnsi="Arial"/>
          <w:bCs/>
          <w:color w:val="000000"/>
          <w:sz w:val="21"/>
          <w:szCs w:val="21"/>
        </w:rPr>
        <w:t>03</w:t>
      </w:r>
      <w:r>
        <w:rPr>
          <w:rFonts w:ascii="Arial" w:hAnsi="Arial"/>
          <w:bCs/>
          <w:color w:val="000000"/>
          <w:sz w:val="21"/>
          <w:szCs w:val="21"/>
        </w:rPr>
        <w:t xml:space="preserve"> de </w:t>
      </w:r>
      <w:r>
        <w:rPr>
          <w:rFonts w:ascii="Arial" w:hAnsi="Arial"/>
          <w:bCs/>
          <w:color w:val="000000"/>
          <w:sz w:val="21"/>
          <w:szCs w:val="21"/>
        </w:rPr>
        <w:t>novembro</w:t>
      </w:r>
      <w:r>
        <w:rPr>
          <w:rFonts w:ascii="Arial" w:hAnsi="Arial"/>
          <w:bCs/>
          <w:color w:val="000000"/>
          <w:sz w:val="21"/>
          <w:szCs w:val="21"/>
        </w:rPr>
        <w:t xml:space="preserve"> de 2024 </w:t>
      </w:r>
      <w:r>
        <w:rPr>
          <w:rFonts w:ascii="Arial" w:hAnsi="Arial"/>
          <w:bCs/>
          <w:color w:val="000000"/>
          <w:sz w:val="21"/>
          <w:szCs w:val="21"/>
        </w:rPr>
        <w:t>às 23h59.</w:t>
      </w:r>
    </w:p>
    <w:p>
      <w:pPr>
        <w:pStyle w:val="Normal"/>
        <w:spacing w:lineRule="auto" w:line="360" w:before="0" w:after="0"/>
        <w:jc w:val="both"/>
        <w:rPr>
          <w:rFonts w:ascii="Arial" w:hAnsi="Arial"/>
        </w:rPr>
      </w:pPr>
      <w:r>
        <w:rPr>
          <w:rFonts w:ascii="Arial" w:hAnsi="Arial"/>
        </w:rPr>
      </w:r>
    </w:p>
    <w:p>
      <w:pPr>
        <w:pStyle w:val="Normal"/>
        <w:spacing w:lineRule="auto" w:line="360" w:before="0" w:after="0"/>
        <w:jc w:val="both"/>
        <w:rPr>
          <w:rFonts w:ascii="Arial" w:hAnsi="Arial"/>
        </w:rPr>
      </w:pPr>
      <w:r>
        <w:rPr>
          <w:rFonts w:ascii="Arial" w:hAnsi="Arial"/>
        </w:rPr>
      </w:r>
    </w:p>
    <w:p>
      <w:pPr>
        <w:pStyle w:val="Normal"/>
        <w:spacing w:lineRule="auto" w:line="360" w:before="0" w:after="0"/>
        <w:jc w:val="center"/>
        <w:rPr>
          <w:rFonts w:ascii="Arial" w:hAnsi="Arial"/>
        </w:rPr>
      </w:pPr>
      <w:r>
        <w:rPr>
          <w:rFonts w:ascii="Arial" w:hAnsi="Arial"/>
          <w:b/>
          <w:sz w:val="21"/>
          <w:szCs w:val="21"/>
        </w:rPr>
        <w:t>III – DO PROCEDIMENTO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pPr>
      <w:r>
        <w:rPr>
          <w:rFonts w:ascii="Arial" w:hAnsi="Arial"/>
          <w:sz w:val="21"/>
          <w:szCs w:val="21"/>
        </w:rPr>
        <w:t xml:space="preserve">3.1. Os eventuais interessados deverão encaminhar suas propostas para o endereço eletrônico </w:t>
      </w:r>
      <w:r>
        <w:rPr>
          <w:rStyle w:val="LinkdaInternet"/>
          <w:rFonts w:ascii="Arial" w:hAnsi="Arial"/>
          <w:sz w:val="21"/>
          <w:szCs w:val="21"/>
        </w:rPr>
        <w:t>licita@lindoiadosul.sc.gov.br</w:t>
      </w:r>
      <w:r>
        <w:rPr>
          <w:rFonts w:ascii="Arial" w:hAnsi="Arial"/>
          <w:sz w:val="21"/>
          <w:szCs w:val="21"/>
        </w:rPr>
        <w:t xml:space="preserve"> no prazo supracitado, as quais observarão o disposto a seguir:</w:t>
      </w:r>
    </w:p>
    <w:p>
      <w:pPr>
        <w:pStyle w:val="Normal"/>
        <w:spacing w:lineRule="auto" w:line="360" w:before="0" w:after="0"/>
        <w:ind w:left="567" w:hanging="0"/>
        <w:jc w:val="both"/>
        <w:rPr>
          <w:rFonts w:ascii="Arial" w:hAnsi="Arial"/>
        </w:rPr>
      </w:pPr>
      <w:r>
        <w:rPr>
          <w:rFonts w:ascii="Arial" w:hAnsi="Arial"/>
          <w:sz w:val="21"/>
          <w:szCs w:val="21"/>
        </w:rPr>
        <w:t xml:space="preserve">a) conter o nome do proponente, endereço, identificação (individual ou social), o nº do CNPJ e da Inscrição Estadual, número de telefone, e e-mail; </w:t>
      </w:r>
    </w:p>
    <w:p>
      <w:pPr>
        <w:pStyle w:val="Normal"/>
        <w:spacing w:lineRule="auto" w:line="360" w:before="0" w:after="0"/>
        <w:ind w:left="567" w:hanging="0"/>
        <w:jc w:val="both"/>
        <w:rPr>
          <w:rFonts w:ascii="Arial" w:hAnsi="Arial"/>
        </w:rPr>
      </w:pPr>
      <w:r>
        <w:rPr>
          <w:rFonts w:ascii="Arial" w:hAnsi="Arial"/>
          <w:sz w:val="21"/>
          <w:szCs w:val="21"/>
        </w:rPr>
        <w:t xml:space="preserve">b) suas folhas devem estar datadas, assinadas e rubricadas pelo seu representante legal, podendo ser de forma digital, desde que atendidos os requisitos legais; </w:t>
      </w:r>
    </w:p>
    <w:p>
      <w:pPr>
        <w:pStyle w:val="Normal"/>
        <w:spacing w:lineRule="auto" w:line="360" w:before="0" w:after="0"/>
        <w:ind w:left="567" w:hanging="0"/>
        <w:jc w:val="both"/>
        <w:rPr>
          <w:rFonts w:ascii="Arial" w:hAnsi="Arial"/>
        </w:rPr>
      </w:pPr>
      <w:r>
        <w:rPr>
          <w:rFonts w:ascii="Arial" w:hAnsi="Arial"/>
          <w:sz w:val="21"/>
          <w:szCs w:val="21"/>
        </w:rPr>
        <w:t xml:space="preserve">c) nos preços propostos deverão estar incluídos todos os custos diretos e indiretos necessários à perfeita execução do objeto,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pPr>
        <w:pStyle w:val="Normal"/>
        <w:spacing w:lineRule="auto" w:line="360" w:before="0" w:after="0"/>
        <w:ind w:left="567" w:hanging="0"/>
        <w:jc w:val="both"/>
        <w:rPr>
          <w:rFonts w:ascii="Arial" w:hAnsi="Arial"/>
        </w:rPr>
      </w:pPr>
      <w:r>
        <w:rPr>
          <w:rFonts w:ascii="Arial" w:hAnsi="Arial"/>
          <w:sz w:val="21"/>
          <w:szCs w:val="21"/>
        </w:rPr>
        <w:t xml:space="preserve">d) o prazo de validade da proposta de preços que não poderá ser inferior a 60 (sessenta) dias, contados da abertura do prazo para envio; </w:t>
      </w:r>
    </w:p>
    <w:p>
      <w:pPr>
        <w:pStyle w:val="Normal"/>
        <w:spacing w:lineRule="auto" w:line="360" w:before="0" w:after="0"/>
        <w:ind w:left="567" w:hanging="0"/>
        <w:jc w:val="both"/>
        <w:rPr>
          <w:rFonts w:ascii="Arial" w:hAnsi="Arial"/>
        </w:rPr>
      </w:pPr>
      <w:r>
        <w:rPr>
          <w:rFonts w:ascii="Arial" w:hAnsi="Arial"/>
          <w:sz w:val="21"/>
          <w:szCs w:val="21"/>
        </w:rPr>
        <w:t xml:space="preserve">e) conter valor unitário e valor total com a quantidade estimada, o valor total deverá constar também por extenso; </w:t>
      </w:r>
    </w:p>
    <w:p>
      <w:pPr>
        <w:pStyle w:val="Normal"/>
        <w:spacing w:lineRule="auto" w:line="360" w:before="0" w:after="0"/>
        <w:ind w:left="567" w:hanging="0"/>
        <w:jc w:val="both"/>
        <w:rPr>
          <w:rFonts w:ascii="Arial" w:hAnsi="Arial"/>
        </w:rPr>
      </w:pPr>
      <w:r>
        <w:rPr>
          <w:rFonts w:ascii="Arial" w:hAnsi="Arial"/>
          <w:sz w:val="21"/>
          <w:szCs w:val="21"/>
        </w:rPr>
        <w:t>f) conter discriminados em moeda corrente nacional os preços dos itens limitados a 02 (duas) casas decimais para os centavos; e</w:t>
      </w:r>
    </w:p>
    <w:p>
      <w:pPr>
        <w:pStyle w:val="Normal"/>
        <w:spacing w:lineRule="auto" w:line="360" w:before="0" w:after="0"/>
        <w:ind w:left="567" w:hanging="0"/>
        <w:jc w:val="both"/>
        <w:rPr>
          <w:rFonts w:ascii="Arial" w:hAnsi="Arial"/>
        </w:rPr>
      </w:pPr>
      <w:r>
        <w:rPr>
          <w:rFonts w:ascii="Arial" w:hAnsi="Arial"/>
          <w:sz w:val="21"/>
          <w:szCs w:val="21"/>
        </w:rPr>
        <w:t>g) especificação completa do produto oferecido de acordo com as apresentadas na Proposta Eletrônica com informações técnicas que possibilitem a sua completa avaliação, totalmente e estritamente conforme descrito acima.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rPr>
        <w:t>in albis</w:t>
      </w:r>
      <w:r>
        <w:rPr>
          <w:rFonts w:ascii="Arial" w:hAnsi="Arial"/>
          <w:sz w:val="21"/>
          <w:szCs w:val="21"/>
        </w:rPr>
        <w:t>.</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3.4. A seleção da contratada não estará restrita àqueles que encaminharem suas propostas, podendo a Administração selecionar a proposta de terceiro alheio a este procedimento.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3.6. Dúvidas ou esclarecimentos poderão ser solicitadas através do endereço eletrônico supracitado.</w:t>
      </w:r>
    </w:p>
    <w:p>
      <w:pPr>
        <w:pStyle w:val="Normal"/>
        <w:spacing w:lineRule="auto" w:line="360" w:before="0" w:after="0"/>
        <w:jc w:val="both"/>
        <w:rPr>
          <w:rFonts w:ascii="Arial" w:hAnsi="Arial"/>
        </w:rPr>
      </w:pPr>
      <w:r>
        <w:rPr>
          <w:rFonts w:ascii="Arial" w:hAnsi="Arial"/>
        </w:rPr>
      </w:r>
    </w:p>
    <w:p>
      <w:pPr>
        <w:pStyle w:val="Normal"/>
        <w:spacing w:lineRule="auto" w:line="360" w:before="0" w:after="0"/>
        <w:jc w:val="center"/>
        <w:rPr>
          <w:rFonts w:ascii="Arial" w:hAnsi="Arial"/>
        </w:rPr>
      </w:pPr>
      <w:r>
        <w:rPr>
          <w:rFonts w:ascii="Arial" w:hAnsi="Arial"/>
          <w:b/>
          <w:bCs/>
          <w:sz w:val="21"/>
          <w:szCs w:val="21"/>
        </w:rPr>
        <w:t>IV – DOS DOCUMENTOS A SEREM APRESENTADOS PELA FUTURA CONTRATADA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 xml:space="preserve">4.1. </w:t>
      </w:r>
      <w:r>
        <w:rPr>
          <w:rFonts w:ascii="Arial" w:hAnsi="Arial"/>
          <w:sz w:val="21"/>
          <w:szCs w:val="21"/>
          <w:lang w:val="pt-BR"/>
        </w:rPr>
        <w:t>Após decisão da autoridade competente, a futura contratada deverá apresentar ao Município os seguintes documentos:</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Certidão Conjunta Negativa (ou Positiva com Efeitos de Negativa) de Débitos Relativos a Tributos Federais e à Dívida Ativa da União e de contribuições sociais;</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Certidão Negativa (ou Positiva com Efeitos de Negativa) de Débitos Estaduais relativos ao Estado sede do proponente;</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Certidão Negativa (ou Positiva com Efeitos de Negativa) de Débitos Municipais, relativa ao Município da sede do proponente;</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Prova de regularidade relativa ao Fundo de Garantia por Tempo de Serviço (CRF do FGTS), demonstrando situação regular no cumprimento dos encargos sociais, instituídos por Lei;</w:t>
      </w:r>
    </w:p>
    <w:p>
      <w:pPr>
        <w:pStyle w:val="Normal"/>
        <w:numPr>
          <w:ilvl w:val="0"/>
          <w:numId w:val="3"/>
        </w:numPr>
        <w:suppressAutoHyphens w:val="false"/>
        <w:spacing w:lineRule="auto" w:line="360" w:before="0" w:after="120"/>
        <w:ind w:left="967" w:right="-2" w:hanging="283"/>
        <w:jc w:val="both"/>
        <w:rPr>
          <w:rFonts w:ascii="Arial" w:hAnsi="Arial"/>
        </w:rPr>
      </w:pPr>
      <w:r>
        <w:rPr>
          <w:rFonts w:eastAsia="Calibri" w:cs="Arial" w:ascii="Arial" w:hAnsi="Arial"/>
          <w:kern w:val="0"/>
          <w:sz w:val="21"/>
          <w:szCs w:val="21"/>
          <w:lang w:val="pt-BR" w:eastAsia="pt-BR"/>
        </w:rPr>
        <w:t>Prova de inexistência de débitos inadimplentes perante a Justiça do Trabalho, mediante a apresentação de Certidão Negativa de Débitos Trabalhistas (CNDT), instituída pela Lei nº 12.440 de 07 de julho de 2011;</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b w:val="false"/>
          <w:bCs w:val="false"/>
          <w:color w:val="000000"/>
          <w:sz w:val="21"/>
          <w:szCs w:val="21"/>
          <w:lang w:val="pt-BR" w:eastAsia="ar-SA"/>
        </w:rPr>
        <w:t>Certidão Negativa de Falência e Concordata, expedida por distribuidor da sede do licitante; (ATENÇÃO: para os Estados em que se aplica, deverão apresentar a certidão emitida através do sistema SAJ</w:t>
      </w:r>
      <w:r>
        <w:rPr>
          <w:rFonts w:cs="Arial" w:ascii="Arial" w:hAnsi="Arial"/>
          <w:b w:val="false"/>
          <w:bCs w:val="false"/>
          <w:sz w:val="21"/>
          <w:szCs w:val="21"/>
          <w:lang w:val="pt-BR" w:eastAsia="ar-SA"/>
        </w:rPr>
        <w:t>,</w:t>
      </w:r>
      <w:r>
        <w:rPr>
          <w:rFonts w:cs="Arial" w:ascii="Arial" w:hAnsi="Arial"/>
          <w:b w:val="false"/>
          <w:bCs w:val="false"/>
          <w:color w:val="000000"/>
          <w:sz w:val="21"/>
          <w:szCs w:val="21"/>
          <w:lang w:val="pt-BR" w:eastAsia="ar-SA"/>
        </w:rPr>
        <w:t xml:space="preserve"> com a respectiva certidão de registros cadastrados no sistema eproc</w:t>
      </w:r>
      <w:r>
        <w:rPr>
          <w:rFonts w:cs="Arial" w:ascii="Arial" w:hAnsi="Arial"/>
          <w:b w:val="false"/>
          <w:bCs w:val="false"/>
          <w:sz w:val="21"/>
          <w:szCs w:val="21"/>
          <w:lang w:val="pt-BR" w:eastAsia="ar-SA"/>
        </w:rPr>
        <w:t>);</w:t>
      </w:r>
    </w:p>
    <w:p>
      <w:pPr>
        <w:pStyle w:val="Normal"/>
        <w:numPr>
          <w:ilvl w:val="0"/>
          <w:numId w:val="3"/>
        </w:numPr>
        <w:suppressAutoHyphens w:val="false"/>
        <w:spacing w:lineRule="auto" w:line="360" w:before="0" w:after="120"/>
        <w:ind w:left="967" w:right="-2" w:hanging="283"/>
        <w:jc w:val="both"/>
        <w:rPr/>
      </w:pPr>
      <w:r>
        <w:rPr>
          <w:rFonts w:cs="Arial" w:ascii="Arial" w:hAnsi="Arial"/>
          <w:b w:val="false"/>
          <w:bCs w:val="false"/>
          <w:sz w:val="21"/>
          <w:szCs w:val="21"/>
          <w:lang w:val="pt-BR"/>
        </w:rPr>
        <w:t xml:space="preserve">Relatório de consulta negativa (contendo Razão Social e CNPJ) junto ao Cadastro Nacional das Empresas Inidôneas e Suspensas – CEIS, através do endereço eletrônico </w:t>
      </w:r>
      <w:r>
        <w:rPr>
          <w:rStyle w:val="LinkdaInternet"/>
          <w:rFonts w:cs="Arial" w:ascii="Arial" w:hAnsi="Arial"/>
          <w:b w:val="false"/>
          <w:bCs w:val="false"/>
          <w:sz w:val="21"/>
          <w:szCs w:val="21"/>
          <w:lang w:val="pt-BR"/>
        </w:rPr>
        <w:t>https://portaldatransparencia.gov.br/sancoes/consulta?ordenarPor=nomeSancionado&amp;direcao=asc</w:t>
      </w:r>
      <w:r>
        <w:rPr>
          <w:rFonts w:cs="Arial" w:ascii="Arial" w:hAnsi="Arial"/>
          <w:b w:val="false"/>
          <w:bCs w:val="false"/>
          <w:sz w:val="21"/>
          <w:szCs w:val="21"/>
          <w:lang w:val="pt-BR"/>
        </w:rPr>
        <w:t xml:space="preserve">,  emitido nos últimos 10 (dez) dias; </w:t>
      </w:r>
    </w:p>
    <w:p>
      <w:pPr>
        <w:pStyle w:val="Normal"/>
        <w:numPr>
          <w:ilvl w:val="0"/>
          <w:numId w:val="3"/>
        </w:numPr>
        <w:suppressAutoHyphens w:val="false"/>
        <w:spacing w:lineRule="auto" w:line="360" w:before="0" w:after="120"/>
        <w:ind w:left="967" w:right="-2" w:hanging="283"/>
        <w:jc w:val="both"/>
        <w:rPr/>
      </w:pPr>
      <w:r>
        <w:rPr>
          <w:rFonts w:cs="Arial" w:ascii="Arial" w:hAnsi="Arial"/>
          <w:b w:val="false"/>
          <w:bCs w:val="false"/>
          <w:sz w:val="21"/>
          <w:szCs w:val="21"/>
          <w:lang w:val="pt-BR"/>
        </w:rPr>
        <w:t xml:space="preserve">Certidões Negativa de Licitante Inidôneos, em nome da empresa licitante (CNPJ) e do sócio majoritário (CPF), emitida através do endereço eletrônico </w:t>
      </w:r>
      <w:hyperlink r:id="rId2">
        <w:r>
          <w:rPr>
            <w:rStyle w:val="LinkdaInternet"/>
            <w:rFonts w:cs="Arial" w:ascii="Arial" w:hAnsi="Arial"/>
            <w:b w:val="false"/>
            <w:bCs w:val="false"/>
            <w:sz w:val="21"/>
            <w:szCs w:val="21"/>
            <w:lang w:val="pt-BR"/>
          </w:rPr>
          <w:t>https://contas.tcu.gov.br/ords/f?p=704144:3:101016560152123::NO:3,4,6</w:t>
        </w:r>
      </w:hyperlink>
      <w:r>
        <w:rPr>
          <w:rStyle w:val="LinkdaInternet"/>
          <w:rFonts w:cs="Arial" w:ascii="Arial" w:hAnsi="Arial"/>
          <w:b w:val="false"/>
          <w:bCs w:val="false"/>
          <w:sz w:val="21"/>
          <w:szCs w:val="21"/>
          <w:lang w:val="pt-BR"/>
        </w:rPr>
        <w:t>::</w:t>
      </w:r>
    </w:p>
    <w:p>
      <w:pPr>
        <w:pStyle w:val="PargrafodaLista"/>
        <w:widowControl w:val="false"/>
        <w:numPr>
          <w:ilvl w:val="0"/>
          <w:numId w:val="3"/>
        </w:numPr>
        <w:suppressAutoHyphens w:val="true"/>
        <w:bidi w:val="0"/>
        <w:spacing w:lineRule="auto" w:line="360" w:before="0" w:after="0"/>
        <w:ind w:left="964" w:right="0" w:hanging="283"/>
        <w:contextualSpacing/>
        <w:jc w:val="both"/>
        <w:rPr/>
      </w:pPr>
      <w:r>
        <w:rPr>
          <w:rStyle w:val="LinkdaInternet"/>
          <w:rFonts w:cs="Arial" w:ascii="Arial" w:hAnsi="Arial"/>
          <w:b w:val="false"/>
          <w:bCs w:val="false"/>
          <w:color w:val="auto"/>
          <w:sz w:val="21"/>
          <w:szCs w:val="21"/>
          <w:u w:val="none"/>
          <w:lang w:val="pt-BR" w:eastAsia="ar-SA"/>
        </w:rPr>
        <w:t>Cadastro Nacional de Condenações Cíveis por Atos de Improbidade Administrativa, mantido pelo Conselho Nacional de Justiça, em nome da empresa licitante (CNPJ) e do sócio majoritário (CPF), emitida através do endereço eletrônico</w:t>
      </w:r>
      <w:r>
        <w:rPr>
          <w:rStyle w:val="LinkdaInternet"/>
          <w:rFonts w:cs="Arial" w:ascii="Arial" w:hAnsi="Arial"/>
          <w:b w:val="false"/>
          <w:bCs w:val="false"/>
          <w:sz w:val="21"/>
          <w:szCs w:val="21"/>
          <w:lang w:val="pt-BR" w:eastAsia="ar-SA"/>
        </w:rPr>
        <w:t xml:space="preserve"> (</w:t>
      </w:r>
      <w:hyperlink r:id="rId3">
        <w:r>
          <w:rPr>
            <w:rStyle w:val="LinkdaInternet"/>
            <w:rFonts w:eastAsia="Calibri" w:cs="Arial" w:ascii="Arial" w:hAnsi="Arial"/>
            <w:b w:val="false"/>
            <w:bCs w:val="false"/>
            <w:sz w:val="21"/>
            <w:szCs w:val="21"/>
            <w:lang w:val="pt-BR" w:eastAsia="ar-SA"/>
          </w:rPr>
          <w:t>www.cnj.jus.br/improbidade_adm/consultar_requerido.php</w:t>
        </w:r>
      </w:hyperlink>
      <w:r>
        <w:rPr>
          <w:rStyle w:val="LinkdaInternet"/>
          <w:rFonts w:cs="Arial" w:ascii="Arial" w:hAnsi="Arial"/>
          <w:b w:val="false"/>
          <w:bCs w:val="false"/>
          <w:sz w:val="21"/>
          <w:szCs w:val="21"/>
          <w:lang w:val="pt-BR" w:eastAsia="ar-SA"/>
        </w:rPr>
        <w:t xml:space="preserve">).  </w:t>
      </w:r>
    </w:p>
    <w:p>
      <w:pPr>
        <w:pStyle w:val="Normal"/>
        <w:numPr>
          <w:ilvl w:val="0"/>
          <w:numId w:val="3"/>
        </w:numPr>
        <w:suppressAutoHyphens w:val="false"/>
        <w:spacing w:lineRule="auto" w:line="360" w:before="0" w:after="120"/>
        <w:ind w:left="967" w:right="-2" w:hanging="283"/>
        <w:jc w:val="both"/>
        <w:rPr>
          <w:rFonts w:ascii="Arial" w:hAnsi="Arial"/>
        </w:rPr>
      </w:pPr>
      <w:r>
        <w:rPr>
          <w:rFonts w:eastAsia="Times New Roman" w:cs="Arial" w:ascii="Arial" w:hAnsi="Arial"/>
          <w:color w:val="000000"/>
          <w:kern w:val="0"/>
          <w:sz w:val="21"/>
          <w:szCs w:val="21"/>
          <w:lang w:val="pt-BR" w:eastAsia="pt-BR"/>
        </w:rPr>
        <w:t>Declaração de Atendimento à Legislação Trabalhista de Proteção à Criança e ao Adolescent</w:t>
      </w:r>
      <w:r>
        <w:rPr>
          <w:rFonts w:eastAsia="Times New Roman" w:cs="Arial" w:ascii="Arial" w:hAnsi="Arial"/>
          <w:b w:val="false"/>
          <w:bCs w:val="false"/>
          <w:color w:val="000000"/>
          <w:kern w:val="0"/>
          <w:sz w:val="21"/>
          <w:szCs w:val="21"/>
          <w:lang w:val="pt-BR" w:eastAsia="pt-BR"/>
        </w:rPr>
        <w:t>e, disposto no inciso XXXIII do art. 7º da Constituição Federal.</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b w:val="false"/>
          <w:bCs w:val="false"/>
          <w:color w:val="000000"/>
          <w:sz w:val="21"/>
          <w:szCs w:val="21"/>
          <w:lang w:val="pt-BR" w:eastAsia="ar-SA"/>
        </w:rPr>
        <w:t>Declaração de idoneidade.</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de que cumpre as exigências de reserva de cargos para pessoa com deficiência e para reabilitado da Previdência Social, previstas em lei e em outras normas específicas.</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que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color w:val="000000"/>
          <w:kern w:val="2"/>
          <w:sz w:val="21"/>
          <w:szCs w:val="21"/>
          <w:lang w:val="pt-BR" w:eastAsia="zh-CN"/>
        </w:rPr>
        <w:t>Declaração 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ausência de condenação judicial por exploração de trabalho infantil, por submissão de trabalhadores a condições análogas às de escravo ou por contratação de adolescentes nos casos vedados pela legislação trabalhista.</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enquadramento de Receita Bruta (para empresas de pequeno porte, de que não contrataram com a Administração Pública até o limite estabelecido em Lei).</w:t>
      </w:r>
    </w:p>
    <w:p>
      <w:pPr>
        <w:pStyle w:val="Normal"/>
        <w:suppressAutoHyphens w:val="false"/>
        <w:spacing w:lineRule="auto" w:line="360" w:before="0" w:after="120"/>
        <w:ind w:left="967" w:right="-2" w:hanging="0"/>
        <w:jc w:val="both"/>
        <w:rPr>
          <w:rFonts w:ascii="Arial" w:hAnsi="Arial"/>
          <w:sz w:val="21"/>
          <w:szCs w:val="21"/>
        </w:rPr>
      </w:pPr>
      <w:r>
        <w:rPr>
          <w:rFonts w:ascii="Arial" w:hAnsi="Arial"/>
          <w:sz w:val="21"/>
          <w:szCs w:val="21"/>
        </w:rPr>
        <w:t>As declarações contidas nos itens “k”, “l”, “m”,” n”, “o”, “p”, “q” e “r”, podem ser substituídas por Declaração Unificada (Anexo I) deste Aviso de Dispensa.</w:t>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ANEXOS:</w:t>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 I – Declaração unificada</w:t>
      </w:r>
    </w:p>
    <w:p>
      <w:pPr>
        <w:pStyle w:val="Normal"/>
        <w:spacing w:lineRule="auto" w:line="360" w:before="0" w:after="0"/>
        <w:jc w:val="center"/>
        <w:rPr>
          <w:rFonts w:ascii="Arial" w:hAnsi="Arial"/>
          <w:sz w:val="21"/>
          <w:szCs w:val="21"/>
        </w:rPr>
      </w:pPr>
      <w:r>
        <w:rPr>
          <w:rFonts w:ascii="Arial" w:hAnsi="Arial"/>
          <w:sz w:val="21"/>
          <w:szCs w:val="21"/>
        </w:rPr>
      </w:r>
    </w:p>
    <w:p>
      <w:pPr>
        <w:pStyle w:val="Normal"/>
        <w:spacing w:lineRule="auto" w:line="360" w:before="0" w:after="0"/>
        <w:jc w:val="center"/>
        <w:rPr>
          <w:rFonts w:ascii="Arial" w:hAnsi="Arial"/>
        </w:rPr>
      </w:pPr>
      <w:r>
        <w:rPr>
          <w:rFonts w:cs="Arial" w:ascii="Arial" w:hAnsi="Arial"/>
          <w:b/>
          <w:sz w:val="21"/>
          <w:szCs w:val="21"/>
        </w:rPr>
        <w:t>Munic</w:t>
      </w:r>
      <w:r>
        <w:rPr>
          <w:rFonts w:cs="Arial" w:ascii="Arial" w:hAnsi="Arial"/>
          <w:b/>
          <w:color w:val="000000"/>
          <w:sz w:val="21"/>
          <w:szCs w:val="21"/>
        </w:rPr>
        <w:t xml:space="preserve">ípio de Lindoia do Sul, </w:t>
      </w:r>
      <w:r>
        <w:rPr>
          <w:rFonts w:cs="Arial" w:ascii="Arial" w:hAnsi="Arial"/>
          <w:b/>
          <w:color w:val="000000"/>
          <w:sz w:val="21"/>
          <w:szCs w:val="21"/>
        </w:rPr>
        <w:t>28</w:t>
      </w:r>
      <w:r>
        <w:rPr>
          <w:rFonts w:cs="Arial" w:ascii="Arial" w:hAnsi="Arial"/>
          <w:b/>
          <w:color w:val="000000"/>
          <w:sz w:val="21"/>
          <w:szCs w:val="21"/>
        </w:rPr>
        <w:t xml:space="preserve"> de </w:t>
      </w:r>
      <w:r>
        <w:rPr>
          <w:rFonts w:cs="Arial" w:ascii="Arial" w:hAnsi="Arial"/>
          <w:b/>
          <w:color w:val="000000"/>
          <w:sz w:val="21"/>
          <w:szCs w:val="21"/>
        </w:rPr>
        <w:t>novembro</w:t>
      </w:r>
      <w:r>
        <w:rPr>
          <w:rFonts w:cs="Arial" w:ascii="Arial" w:hAnsi="Arial"/>
          <w:b/>
          <w:color w:val="000000"/>
          <w:sz w:val="21"/>
          <w:szCs w:val="21"/>
        </w:rPr>
        <w:t xml:space="preserve"> de 2024.</w:t>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widowControl w:val="false"/>
        <w:tabs>
          <w:tab w:val="clear" w:pos="708"/>
          <w:tab w:val="left" w:pos="1701" w:leader="none"/>
        </w:tabs>
        <w:spacing w:lineRule="auto" w:line="360" w:before="0" w:after="0"/>
        <w:jc w:val="center"/>
        <w:textAlignment w:val="baseline"/>
        <w:rPr>
          <w:rFonts w:ascii="Arial" w:hAnsi="Arial"/>
        </w:rPr>
      </w:pPr>
      <w:r>
        <w:rPr>
          <w:rFonts w:eastAsia="Times New Roman" w:cs="Arial" w:ascii="Arial" w:hAnsi="Arial"/>
          <w:b/>
          <w:color w:val="000000"/>
          <w:sz w:val="21"/>
          <w:szCs w:val="21"/>
          <w:lang w:eastAsia="pt-BR"/>
        </w:rPr>
        <w:t>PEDRO ARI PARIZOTTO</w:t>
      </w:r>
    </w:p>
    <w:p>
      <w:pPr>
        <w:pStyle w:val="Normal"/>
        <w:widowControl w:val="false"/>
        <w:tabs>
          <w:tab w:val="clear" w:pos="708"/>
          <w:tab w:val="left" w:pos="1701" w:leader="none"/>
        </w:tabs>
        <w:spacing w:lineRule="auto" w:line="360" w:before="0" w:after="0"/>
        <w:jc w:val="center"/>
        <w:textAlignment w:val="baseline"/>
        <w:rPr>
          <w:rFonts w:ascii="Arial" w:hAnsi="Arial"/>
        </w:rPr>
      </w:pPr>
      <w:r>
        <w:rPr>
          <w:rFonts w:eastAsia="Times New Roman" w:cs="Arial" w:ascii="Arial" w:hAnsi="Arial"/>
          <w:b/>
          <w:color w:val="000000"/>
          <w:sz w:val="21"/>
          <w:szCs w:val="21"/>
          <w:lang w:eastAsia="pt-BR"/>
        </w:rPr>
        <w:t xml:space="preserve">Prefeito Municipal </w:t>
      </w:r>
      <w:r>
        <w:rPr>
          <w:rFonts w:eastAsia="Times New Roman" w:cs="Arial" w:ascii="Arial" w:hAnsi="Arial"/>
          <w:b/>
          <w:color w:val="000000"/>
          <w:sz w:val="21"/>
          <w:szCs w:val="21"/>
          <w:lang w:eastAsia="pt-BR"/>
        </w:rPr>
        <w:t>em exerício</w:t>
      </w:r>
    </w:p>
    <w:p>
      <w:pPr>
        <w:pStyle w:val="Normal"/>
        <w:spacing w:lineRule="auto" w:line="360" w:before="0" w:after="0"/>
        <w:jc w:val="center"/>
        <w:rPr>
          <w:rFonts w:ascii="Arial" w:hAnsi="Arial"/>
        </w:rPr>
      </w:pPr>
      <w:r>
        <w:rPr>
          <w:rFonts w:cs="Arial" w:ascii="Arial" w:hAnsi="Arial"/>
          <w:b/>
          <w:bCs/>
          <w:sz w:val="21"/>
          <w:szCs w:val="21"/>
        </w:rPr>
        <w:t>ANEXO I</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rPr>
      </w:pPr>
      <w:r>
        <w:rPr>
          <w:rFonts w:cs="Arial" w:ascii="Arial" w:hAnsi="Arial"/>
          <w:b/>
          <w:bCs/>
          <w:sz w:val="21"/>
          <w:szCs w:val="21"/>
        </w:rPr>
        <w:t>PROCESSO LICITATÓRIO Nº 13</w:t>
      </w:r>
      <w:r>
        <w:rPr>
          <w:rFonts w:cs="Arial" w:ascii="Arial" w:hAnsi="Arial"/>
          <w:b/>
          <w:bCs/>
          <w:sz w:val="21"/>
          <w:szCs w:val="21"/>
        </w:rPr>
        <w:t>6</w:t>
      </w:r>
      <w:r>
        <w:rPr>
          <w:rFonts w:cs="Arial" w:ascii="Arial" w:hAnsi="Arial"/>
          <w:b/>
          <w:bCs/>
          <w:sz w:val="21"/>
          <w:szCs w:val="21"/>
        </w:rPr>
        <w:t>/2024</w:t>
      </w:r>
    </w:p>
    <w:p>
      <w:pPr>
        <w:pStyle w:val="Normal"/>
        <w:spacing w:lineRule="auto" w:line="360" w:before="0" w:after="0"/>
        <w:jc w:val="both"/>
        <w:rPr>
          <w:rFonts w:ascii="Arial" w:hAnsi="Arial"/>
        </w:rPr>
      </w:pPr>
      <w:r>
        <w:rPr>
          <w:rFonts w:cs="Arial" w:ascii="Arial" w:hAnsi="Arial"/>
          <w:b/>
          <w:bCs/>
          <w:sz w:val="21"/>
          <w:szCs w:val="21"/>
        </w:rPr>
        <w:t xml:space="preserve">DISPENSA DE LICITAÇÃO Nº </w:t>
      </w:r>
      <w:r>
        <w:rPr>
          <w:rFonts w:cs="Arial" w:ascii="Arial" w:hAnsi="Arial"/>
          <w:b/>
          <w:bCs/>
          <w:sz w:val="21"/>
          <w:szCs w:val="21"/>
        </w:rPr>
        <w:t>87</w:t>
      </w:r>
      <w:r>
        <w:rPr>
          <w:rFonts w:cs="Arial" w:ascii="Arial" w:hAnsi="Arial"/>
          <w:b/>
          <w:bCs/>
          <w:sz w:val="21"/>
          <w:szCs w:val="21"/>
        </w:rPr>
        <w:t>/2024</w:t>
      </w:r>
    </w:p>
    <w:p>
      <w:pPr>
        <w:pStyle w:val="Normal"/>
        <w:widowControl w:val="false"/>
        <w:tabs>
          <w:tab w:val="clear" w:pos="708"/>
          <w:tab w:val="left" w:pos="1701" w:leader="none"/>
        </w:tabs>
        <w:spacing w:lineRule="auto" w:line="360" w:before="0" w:after="0"/>
        <w:textAlignment w:val="baseline"/>
        <w:rPr>
          <w:rFonts w:ascii="Arial" w:hAnsi="Arial"/>
        </w:rPr>
      </w:pPr>
      <w:r>
        <w:rPr>
          <w:rFonts w:ascii="Arial" w:hAnsi="Arial"/>
        </w:rPr>
      </w:r>
    </w:p>
    <w:p>
      <w:pPr>
        <w:pStyle w:val="Normal"/>
        <w:spacing w:lineRule="auto" w:line="360"/>
        <w:jc w:val="center"/>
        <w:rPr>
          <w:rFonts w:ascii="Arial" w:hAnsi="Arial"/>
        </w:rPr>
      </w:pPr>
      <w:r>
        <w:rPr>
          <w:rFonts w:eastAsia="Times New Roman" w:cs="Arial" w:ascii="Arial" w:hAnsi="Arial"/>
          <w:b/>
          <w:bCs/>
          <w:color w:val="000000"/>
          <w:kern w:val="2"/>
          <w:sz w:val="24"/>
          <w:szCs w:val="24"/>
          <w:lang w:eastAsia="zh-CN"/>
        </w:rPr>
        <w:t>DECLARAÇÃO UNIFICADA</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rPr>
      </w:pPr>
      <w:r>
        <w:rPr>
          <w:rFonts w:eastAsia="Times New Roman" w:cs="Arial" w:ascii="Arial" w:hAnsi="Arial"/>
          <w:bCs/>
          <w:color w:val="000000"/>
          <w:kern w:val="2"/>
          <w:sz w:val="24"/>
          <w:szCs w:val="24"/>
          <w:lang w:eastAsia="zh-CN"/>
        </w:rPr>
        <w:t>A emp</w:t>
      </w:r>
      <w:r>
        <w:rPr>
          <w:rFonts w:eastAsia="Times New Roman" w:cs="Arial" w:ascii="Arial" w:hAnsi="Arial"/>
          <w:b w:val="false"/>
          <w:bCs w:val="false"/>
          <w:color w:val="000000"/>
          <w:kern w:val="2"/>
          <w:sz w:val="24"/>
          <w:szCs w:val="24"/>
          <w:lang w:eastAsia="zh-CN"/>
        </w:rPr>
        <w:t xml:space="preserve">resa ______________________________________, inscrita no CNPJ sob o nº ________________________, estabelecida na Rua _______________ nº ___, Bairro ____________, Município </w:t>
      </w:r>
      <w:r>
        <w:rPr>
          <w:rFonts w:eastAsia="Times New Roman" w:cs="Arial" w:ascii="Arial" w:hAnsi="Arial"/>
          <w:bCs/>
          <w:color w:val="000000"/>
          <w:kern w:val="2"/>
          <w:sz w:val="24"/>
          <w:szCs w:val="24"/>
          <w:lang w:eastAsia="zh-CN"/>
        </w:rPr>
        <w:t xml:space="preserve">de ______________-SC por intermédio de seu representante legal Sr.(a) _________________________, portador(a) da Carteira de Identidade nº _______________ e do CPF nº ________________, </w:t>
      </w:r>
      <w:r>
        <w:rPr>
          <w:rFonts w:eastAsia="Times New Roman" w:cs="Arial" w:ascii="Arial" w:hAnsi="Arial"/>
          <w:b/>
          <w:bCs/>
          <w:color w:val="000000"/>
          <w:kern w:val="2"/>
          <w:sz w:val="24"/>
          <w:szCs w:val="24"/>
          <w:lang w:eastAsia="zh-CN"/>
        </w:rPr>
        <w:t>DECLARA:</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val="false"/>
        <w:spacing w:lineRule="auto" w:line="360"/>
        <w:ind w:left="567" w:hanging="0"/>
        <w:jc w:val="both"/>
        <w:rPr>
          <w:rFonts w:ascii="Arial" w:hAnsi="Arial"/>
        </w:rPr>
      </w:pPr>
      <w:r>
        <w:rPr>
          <w:rFonts w:eastAsia="Times New Roman" w:cs="Arial" w:ascii="Arial" w:hAnsi="Arial"/>
          <w:color w:val="000000"/>
          <w:kern w:val="2"/>
          <w:lang w:eastAsia="zh-CN"/>
        </w:rPr>
        <w:t>Ressalva: emprega menor, a partir de quatorze anos, na condição de aprendiz (   ).</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val="false"/>
        <w:spacing w:lineRule="auto" w:line="360"/>
        <w:ind w:left="567" w:hanging="0"/>
        <w:jc w:val="both"/>
        <w:rPr>
          <w:rFonts w:ascii="Arial" w:hAnsi="Arial"/>
        </w:rPr>
      </w:pPr>
      <w:r>
        <w:rPr>
          <w:rFonts w:eastAsia="Times New Roman" w:cs="Arial" w:ascii="Arial" w:hAnsi="Arial"/>
          <w:bCs/>
          <w:color w:val="000000"/>
          <w:kern w:val="2"/>
          <w:sz w:val="24"/>
          <w:szCs w:val="24"/>
          <w:lang w:eastAsia="zh-CN"/>
        </w:rPr>
        <w:t>Portanto, inclusive, a empresa declara que também está em conformidade com o que prevê o art. 54 I “a” da Constituição Federal e art. 43 I ”a” e II “a” da Constituição do Estado de Santa Catarina.</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Que não foi declarada INIDÔNEA para licitar ou contratar com a Administração Pública, bem como que comunicarei qualquer fato ou evento superveniente à entrega dos documentos de habilitação que venha alterar a atual situação quanto à capacidade jurídica, técnica, regularidade fiscal e idoneidade econômico-financeira.</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Ausência de condenação judicial por exploração de trabalho infantil, por submissão de trabalhadores a condições análogas às de escravo ou por contratação de adolescentes nos casos vedados pela legislação trabalhista.</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Que cumpre as exigências de reserva de cargos para pessoa com deficiência e para reabilitado da Previdência Social, previstas em lei e em outras normas específicas.</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 xml:space="preserve">Que o enquadramento da Receita Bruta do exercício financeiro para empresas de pequeno porte, não atingiu o limite, considerando contratos com a Administração Pública </w:t>
      </w:r>
      <w:r>
        <w:rPr>
          <w:rFonts w:cs="Arial" w:ascii="Arial" w:hAnsi="Arial"/>
          <w:color w:val="000000"/>
          <w:sz w:val="24"/>
          <w:szCs w:val="24"/>
          <w:shd w:fill="FF0000" w:val="clear"/>
        </w:rPr>
        <w:t>(se for o caso)</w:t>
      </w:r>
      <w:r>
        <w:rPr>
          <w:rFonts w:cs="Arial" w:ascii="Arial" w:hAnsi="Arial"/>
          <w:sz w:val="24"/>
          <w:szCs w:val="24"/>
        </w:rPr>
        <w:t>.</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rPr>
      </w:pPr>
      <w:r>
        <w:rPr>
          <w:rFonts w:eastAsia="Times New Roman" w:cs="Arial" w:ascii="Arial" w:hAnsi="Arial"/>
          <w:bCs/>
          <w:color w:val="000000"/>
          <w:kern w:val="2"/>
          <w:sz w:val="24"/>
          <w:szCs w:val="24"/>
          <w:lang w:eastAsia="zh-CN"/>
        </w:rPr>
        <w:t>Local, ______ de ____________________ de 2024.</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rPr>
      </w:pPr>
      <w:r>
        <w:rPr>
          <w:rFonts w:eastAsia="Times New Roman" w:cs="Arial" w:ascii="Arial" w:hAnsi="Arial"/>
          <w:bCs/>
          <w:color w:val="000000"/>
          <w:kern w:val="2"/>
          <w:sz w:val="24"/>
          <w:szCs w:val="24"/>
          <w:lang w:eastAsia="zh-CN"/>
        </w:rPr>
        <w:t>(nome e assinatura do responsável legal)</w:t>
      </w:r>
    </w:p>
    <w:p>
      <w:pPr>
        <w:pStyle w:val="Normal"/>
        <w:spacing w:lineRule="auto" w:line="360"/>
        <w:jc w:val="both"/>
        <w:rPr>
          <w:rFonts w:ascii="Arial" w:hAnsi="Arial"/>
        </w:rPr>
      </w:pPr>
      <w:r>
        <w:rPr>
          <w:rFonts w:eastAsia="Times New Roman" w:cs="Arial" w:ascii="Arial" w:hAnsi="Arial"/>
          <w:color w:val="000000"/>
          <w:kern w:val="2"/>
          <w:sz w:val="24"/>
          <w:szCs w:val="24"/>
          <w:lang w:eastAsia="zh-CN"/>
        </w:rPr>
        <w:t>(número da carteira de identidade e órgão emissor)</w:t>
      </w:r>
    </w:p>
    <w:p>
      <w:pPr>
        <w:pStyle w:val="Normal"/>
        <w:spacing w:lineRule="auto" w:line="360" w:before="0" w:after="0"/>
        <w:jc w:val="center"/>
        <w:rPr>
          <w:rFonts w:eastAsia="Times New Roman" w:cs="Arial"/>
          <w:b/>
          <w:b/>
          <w:bCs/>
          <w:color w:val="000000"/>
          <w:sz w:val="21"/>
          <w:szCs w:val="21"/>
          <w:lang w:eastAsia="pt-BR"/>
        </w:rPr>
      </w:pPr>
      <w:r>
        <w:rPr>
          <w:rFonts w:ascii="Arial" w:hAnsi="Arial"/>
        </w:rPr>
      </w:r>
    </w:p>
    <w:sectPr>
      <w:headerReference w:type="even" r:id="rId4"/>
      <w:headerReference w:type="default" r:id="rId5"/>
      <w:headerReference w:type="first" r:id="rId6"/>
      <w:footerReference w:type="default" r:id="rId7"/>
      <w:type w:val="nextPage"/>
      <w:pgSz w:w="11906" w:h="16838"/>
      <w:pgMar w:left="1701" w:right="1133" w:gutter="0" w:header="426" w:top="1987" w:footer="0" w:bottom="42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6840855" cy="99250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30" t="-140" r="-30" b="-140"/>
                  <a:stretch>
                    <a:fillRect/>
                  </a:stretch>
                </pic:blipFill>
                <pic:spPr bwMode="auto">
                  <a:xfrm>
                    <a:off x="0" y="0"/>
                    <a:ext cx="6840855" cy="9925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pStyle w:val="Ttulo4"/>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4">
    <w:name w:val="Heading 4"/>
    <w:basedOn w:val="Normal"/>
    <w:next w:val="Normal"/>
    <w:link w:val="Ttulo4Char"/>
    <w:qFormat/>
    <w:rsid w:val="008e72a6"/>
    <w:pPr>
      <w:keepNext w:val="true"/>
      <w:keepLines/>
      <w:numPr>
        <w:ilvl w:val="3"/>
        <w:numId w:val="1"/>
      </w:numPr>
      <w:tabs>
        <w:tab w:val="clear" w:pos="708"/>
        <w:tab w:val="left" w:pos="0" w:leader="none"/>
      </w:tabs>
      <w:spacing w:lineRule="auto" w:line="240" w:before="280" w:after="80"/>
      <w:outlineLvl w:val="3"/>
    </w:pPr>
    <w:rPr>
      <w:rFonts w:ascii="Arial" w:hAnsi="Arial" w:eastAsia="Arial" w:cs="Arial"/>
      <w:color w:val="666666"/>
      <w:kern w:val="2"/>
      <w:sz w:val="24"/>
      <w:szCs w:val="24"/>
      <w:lang w:eastAsia="zh-CN" w:bidi="hi-I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uiPriority w:val="99"/>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qFormat/>
    <w:rsid w:val="007a6e59"/>
    <w:rPr>
      <w:rFonts w:ascii="Times New Roman" w:hAnsi="Times New Roman" w:eastAsia="Times New Roman" w:cs="Times New Roman"/>
      <w:sz w:val="24"/>
      <w:szCs w:val="24"/>
    </w:rPr>
  </w:style>
  <w:style w:type="character" w:styleId="CorpodetextoChar" w:customStyle="1">
    <w:name w:val="Corpo de texto Char"/>
    <w:basedOn w:val="DefaultParagraphFont"/>
    <w:uiPriority w:val="99"/>
    <w:semiHidden/>
    <w:qFormat/>
    <w:rsid w:val="003e1700"/>
    <w:rPr/>
  </w:style>
  <w:style w:type="character" w:styleId="Recuodecorpodetexto2Char" w:customStyle="1">
    <w:name w:val="Recuo de corpo de texto 2 Char"/>
    <w:basedOn w:val="DefaultParagraphFont"/>
    <w:link w:val="BodyTextIndent2"/>
    <w:qFormat/>
    <w:rsid w:val="003e1700"/>
    <w:rPr>
      <w:rFonts w:ascii="Times New Roman" w:hAnsi="Times New Roman" w:eastAsia="Times New Roman" w:cs="Times New Roman"/>
      <w:sz w:val="24"/>
      <w:szCs w:val="24"/>
      <w:lang w:eastAsia="pt-BR"/>
    </w:rPr>
  </w:style>
  <w:style w:type="character" w:styleId="LinkdaInternet">
    <w:name w:val="Hyperlink"/>
    <w:basedOn w:val="DefaultParagraphFont"/>
    <w:uiPriority w:val="99"/>
    <w:unhideWhenUsed/>
    <w:rsid w:val="006b6386"/>
    <w:rPr>
      <w:color w:val="0563C1" w:themeColor="hyperlink"/>
      <w:u w:val="single"/>
    </w:rPr>
  </w:style>
  <w:style w:type="character" w:styleId="UnresolvedMention">
    <w:name w:val="Unresolved Mention"/>
    <w:basedOn w:val="DefaultParagraphFont"/>
    <w:uiPriority w:val="99"/>
    <w:semiHidden/>
    <w:unhideWhenUsed/>
    <w:qFormat/>
    <w:rsid w:val="006b6386"/>
    <w:rPr>
      <w:color w:val="605E5C"/>
      <w:shd w:fill="E1DFDD" w:val="clear"/>
    </w:rPr>
  </w:style>
  <w:style w:type="character" w:styleId="SubtleEmphasis">
    <w:name w:val="Subtle Emphasis"/>
    <w:basedOn w:val="DefaultParagraphFont"/>
    <w:uiPriority w:val="19"/>
    <w:qFormat/>
    <w:rsid w:val="00e67296"/>
    <w:rPr>
      <w:i/>
      <w:iCs/>
      <w:color w:val="404040" w:themeColor="text1" w:themeTint="bf"/>
    </w:rPr>
  </w:style>
  <w:style w:type="character" w:styleId="Annotationreference">
    <w:name w:val="annotation reference"/>
    <w:basedOn w:val="DefaultParagraphFont"/>
    <w:uiPriority w:val="99"/>
    <w:semiHidden/>
    <w:unhideWhenUsed/>
    <w:qFormat/>
    <w:rsid w:val="00000a60"/>
    <w:rPr>
      <w:sz w:val="16"/>
      <w:szCs w:val="16"/>
    </w:rPr>
  </w:style>
  <w:style w:type="character" w:styleId="TextodecomentrioChar" w:customStyle="1">
    <w:name w:val="Texto de comentário Char"/>
    <w:basedOn w:val="DefaultParagraphFont"/>
    <w:link w:val="Annotationtext"/>
    <w:uiPriority w:val="99"/>
    <w:qFormat/>
    <w:rsid w:val="00000a60"/>
    <w:rPr>
      <w:sz w:val="20"/>
      <w:szCs w:val="20"/>
    </w:rPr>
  </w:style>
  <w:style w:type="character" w:styleId="AssuntodocomentrioChar" w:customStyle="1">
    <w:name w:val="Assunto do comentário Char"/>
    <w:basedOn w:val="TextodecomentrioChar"/>
    <w:link w:val="Annotationsubject"/>
    <w:uiPriority w:val="99"/>
    <w:semiHidden/>
    <w:qFormat/>
    <w:rsid w:val="00000a60"/>
    <w:rPr>
      <w:b/>
      <w:bCs/>
      <w:sz w:val="20"/>
      <w:szCs w:val="20"/>
    </w:rPr>
  </w:style>
  <w:style w:type="character" w:styleId="WW8Num12z0" w:customStyle="1">
    <w:name w:val="WW8Num12z0"/>
    <w:qFormat/>
    <w:rPr>
      <w:b w:val="false"/>
    </w:rPr>
  </w:style>
  <w:style w:type="character" w:styleId="WW8Num3z0" w:customStyle="1">
    <w:name w:val="WW8Num3z0"/>
    <w:qFormat/>
    <w:rPr>
      <w:b w:val="false"/>
    </w:rPr>
  </w:style>
  <w:style w:type="character" w:styleId="WW8Num10z0" w:customStyle="1">
    <w:name w:val="WW8Num10z0"/>
    <w:qFormat/>
    <w:rPr>
      <w:b w:val="false"/>
    </w:rPr>
  </w:style>
  <w:style w:type="character" w:styleId="Linkdainternetvisitado">
    <w:name w:val="FollowedHyperlink"/>
    <w:rPr>
      <w:color w:val="954F72"/>
      <w:u w:val="single"/>
    </w:rPr>
  </w:style>
  <w:style w:type="character" w:styleId="WW8Num5z0" w:customStyle="1">
    <w:name w:val="WW8Num5z0"/>
    <w:qFormat/>
    <w:rPr/>
  </w:style>
  <w:style w:type="character" w:styleId="WW8Num2z0" w:customStyle="1">
    <w:name w:val="WW8Num2z0"/>
    <w:qFormat/>
    <w:rPr>
      <w:rFonts w:ascii="Wingdings" w:hAnsi="Wingdings" w:cs="OpenSymbol;Arial Unicode MS"/>
    </w:rPr>
  </w:style>
  <w:style w:type="character" w:styleId="Ttulo4Char" w:customStyle="1">
    <w:name w:val="Título 4 Char"/>
    <w:basedOn w:val="DefaultParagraphFont"/>
    <w:qFormat/>
    <w:rsid w:val="008e72a6"/>
    <w:rPr>
      <w:rFonts w:ascii="Arial" w:hAnsi="Arial" w:eastAsia="Arial" w:cs="Arial"/>
      <w:color w:val="666666"/>
      <w:kern w:val="2"/>
      <w:sz w:val="24"/>
      <w:szCs w:val="24"/>
      <w:lang w:eastAsia="zh-CN" w:bidi="hi-IN"/>
    </w:rPr>
  </w:style>
  <w:style w:type="character" w:styleId="Strong">
    <w:name w:val="Strong"/>
    <w:qFormat/>
    <w:rsid w:val="008e72a6"/>
    <w:rPr>
      <w:b/>
      <w:bC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8z0">
    <w:name w:val="WW8Num8z0"/>
    <w:qFormat/>
    <w:rPr>
      <w:b/>
      <w:bCs/>
    </w:rPr>
  </w:style>
  <w:style w:type="character" w:styleId="WW8Num8z1">
    <w:name w:val="WW8Num8z1"/>
    <w:qFormat/>
    <w:rPr>
      <w:b/>
      <w:bCs/>
      <w:sz w:val="24"/>
      <w:szCs w:val="24"/>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semiHidden/>
    <w:unhideWhenUsed/>
    <w:rsid w:val="003e1700"/>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Indent2">
    <w:name w:val="Body Text Indent 2"/>
    <w:basedOn w:val="Normal"/>
    <w:link w:val="Recuodecorpodetexto2Char"/>
    <w:qFormat/>
    <w:rsid w:val="003e1700"/>
    <w:pPr>
      <w:spacing w:lineRule="auto" w:line="480" w:before="0" w:after="120"/>
      <w:ind w:left="283" w:hanging="0"/>
    </w:pPr>
    <w:rPr>
      <w:rFonts w:ascii="Times New Roman" w:hAnsi="Times New Roman" w:eastAsia="Times New Roman" w:cs="Times New Roman"/>
      <w:sz w:val="24"/>
      <w:szCs w:val="24"/>
      <w:lang w:eastAsia="pt-BR"/>
    </w:rPr>
  </w:style>
  <w:style w:type="paragraph" w:styleId="ListParagraph">
    <w:name w:val="List Paragraph"/>
    <w:basedOn w:val="Normal"/>
    <w:qFormat/>
    <w:pPr>
      <w:spacing w:before="0" w:after="0"/>
      <w:ind w:left="720" w:hanging="0"/>
      <w:contextualSpacing/>
    </w:pPr>
    <w:rPr/>
  </w:style>
  <w:style w:type="paragraph" w:styleId="Annotationtext">
    <w:name w:val="annotation text"/>
    <w:basedOn w:val="Normal"/>
    <w:link w:val="TextodecomentrioChar"/>
    <w:uiPriority w:val="99"/>
    <w:unhideWhenUsed/>
    <w:qFormat/>
    <w:rsid w:val="00000a6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0a60"/>
    <w:pPr/>
    <w:rPr>
      <w:b/>
      <w:bCs/>
    </w:rPr>
  </w:style>
  <w:style w:type="paragraph" w:styleId="Contedodatabela" w:customStyle="1">
    <w:name w:val="Conteúdo da tabela"/>
    <w:basedOn w:val="Normal"/>
    <w:qFormat/>
    <w:pPr>
      <w:suppressLineNumbers/>
    </w:pPr>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4"/>
      <w:szCs w:val="24"/>
      <w:lang w:val="pt-BR" w:eastAsia="zh-CN" w:bidi="hi-IN"/>
    </w:rPr>
  </w:style>
  <w:style w:type="paragraph" w:styleId="Corpodetexto21" w:customStyle="1">
    <w:name w:val="Corpo de texto 21"/>
    <w:basedOn w:val="Normal"/>
    <w:qFormat/>
    <w:pPr>
      <w:spacing w:lineRule="auto" w:line="360"/>
      <w:jc w:val="both"/>
    </w:pPr>
    <w:rPr>
      <w:rFonts w:eastAsia="Times New Roman"/>
      <w:color w:val="000000"/>
    </w:rPr>
  </w:style>
  <w:style w:type="paragraph" w:styleId="PargrafodaLista">
    <w:name w:val="Parágrafo da Lista"/>
    <w:basedOn w:val="Normal"/>
    <w:qFormat/>
    <w:pPr>
      <w:spacing w:before="0" w:after="0"/>
      <w:ind w:left="720" w:right="0" w:hanging="0"/>
      <w:contextualSpacing/>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WW8Num12" w:customStyle="1">
    <w:name w:val="WW8Num12"/>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2" w:customStyle="1">
    <w:name w:val="WW8Num2"/>
    <w:qFormat/>
  </w:style>
  <w:style w:type="numbering" w:styleId="WW8Num9">
    <w:name w:val="WW8Num9"/>
    <w:qFormat/>
  </w:style>
  <w:style w:type="numbering" w:styleId="WW8Num8">
    <w:name w:val="WW8Num8"/>
    <w:qFormat/>
  </w:style>
  <w:style w:type="numbering" w:styleId="WW8Num4">
    <w:name w:val="WW8Num4"/>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tas.tcu.gov.br/ords/f?p=704144:3:101016560152123::NO:3,4,6" TargetMode="External"/><Relationship Id="rId3" Type="http://schemas.openxmlformats.org/officeDocument/2006/relationships/hyperlink" Target="http://www.cnj.jus.br/improbidade_adm/consultar_requerido.php"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3283</TotalTime>
  <Application>LibreOffice/7.4.2.3$Windows_X86_64 LibreOffice_project/382eef1f22670f7f4118c8c2dd222ec7ad009daf</Application>
  <AppVersion>15.0000</AppVersion>
  <Pages>7</Pages>
  <Words>1888</Words>
  <Characters>10604</Characters>
  <CharactersWithSpaces>12377</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dc:description/>
  <dc:language>pt-BR</dc:language>
  <cp:lastModifiedBy/>
  <cp:lastPrinted>2024-11-18T10:41:20Z</cp:lastPrinted>
  <dcterms:modified xsi:type="dcterms:W3CDTF">2024-11-28T15:50:26Z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file>