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Arial" w:hAnsi="Arial"/>
        </w:rPr>
      </w:pPr>
      <w:r>
        <w:rPr>
          <w:rFonts w:ascii="Arial" w:hAnsi="Arial"/>
          <w:b/>
          <w:sz w:val="21"/>
          <w:szCs w:val="21"/>
        </w:rPr>
        <w:t>PROCESSO LICITATÓRIO Nº 13</w:t>
      </w:r>
      <w:r>
        <w:rPr>
          <w:rFonts w:ascii="Arial" w:hAnsi="Arial"/>
          <w:b/>
          <w:sz w:val="21"/>
          <w:szCs w:val="21"/>
        </w:rPr>
        <w:t>7</w:t>
      </w:r>
      <w:r>
        <w:rPr>
          <w:rFonts w:ascii="Arial" w:hAnsi="Arial"/>
          <w:b/>
          <w:sz w:val="21"/>
          <w:szCs w:val="21"/>
        </w:rPr>
        <w:t>/2024</w:t>
      </w:r>
    </w:p>
    <w:p>
      <w:pPr>
        <w:pStyle w:val="Normal"/>
        <w:spacing w:lineRule="auto" w:line="276" w:before="0" w:after="0"/>
        <w:rPr>
          <w:rFonts w:ascii="Arial" w:hAnsi="Arial"/>
        </w:rPr>
      </w:pPr>
      <w:r>
        <w:rPr>
          <w:rFonts w:ascii="Arial" w:hAnsi="Arial"/>
          <w:b/>
          <w:sz w:val="21"/>
          <w:szCs w:val="21"/>
        </w:rPr>
        <w:t>DISPENSA DE LICITAÇÃO Nº 8</w:t>
      </w:r>
      <w:r>
        <w:rPr>
          <w:rFonts w:ascii="Arial" w:hAnsi="Arial"/>
          <w:b/>
          <w:sz w:val="21"/>
          <w:szCs w:val="21"/>
        </w:rPr>
        <w:t>8</w:t>
      </w:r>
      <w:r>
        <w:rPr>
          <w:rFonts w:ascii="Arial" w:hAnsi="Arial"/>
          <w:b/>
          <w:sz w:val="21"/>
          <w:szCs w:val="21"/>
        </w:rPr>
        <w:t>/2024</w:t>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rPr>
      </w:pPr>
      <w:r>
        <w:rPr>
          <w:rFonts w:ascii="Arial" w:hAnsi="Arial"/>
          <w:b/>
          <w:sz w:val="21"/>
          <w:szCs w:val="21"/>
        </w:rPr>
        <w:t>MINUTA DIVULGAÇÃO DE DISPENSA DE LICITAÇÃO</w:t>
      </w:r>
    </w:p>
    <w:p>
      <w:pPr>
        <w:pStyle w:val="Normal"/>
        <w:spacing w:lineRule="auto" w:line="360" w:before="0" w:after="0"/>
        <w:jc w:val="both"/>
        <w:rPr>
          <w:rFonts w:ascii="Arial" w:hAnsi="Arial"/>
          <w:bCs/>
          <w:iCs/>
          <w:sz w:val="21"/>
          <w:szCs w:val="21"/>
        </w:rPr>
      </w:pPr>
      <w:r>
        <w:rPr>
          <w:rFonts w:ascii="Arial" w:hAnsi="Arial"/>
          <w:bCs/>
          <w:iCs/>
          <w:sz w:val="21"/>
          <w:szCs w:val="21"/>
        </w:rPr>
      </w:r>
    </w:p>
    <w:p>
      <w:pPr>
        <w:pStyle w:val="Normal"/>
        <w:spacing w:lineRule="auto" w:line="360" w:before="0" w:after="0"/>
        <w:jc w:val="both"/>
        <w:rPr>
          <w:rFonts w:ascii="Arial" w:hAnsi="Arial"/>
        </w:rPr>
      </w:pPr>
      <w:r>
        <w:rPr>
          <w:rFonts w:eastAsia="Times New Roman" w:cs="Arial" w:ascii="Arial" w:hAnsi="Arial"/>
          <w:bCs/>
          <w:iCs/>
          <w:sz w:val="21"/>
          <w:szCs w:val="21"/>
          <w:lang w:eastAsia="pt-BR"/>
        </w:rPr>
        <w:t xml:space="preserve">A Prefeitura Municipal de Lindoia do Sul/SC, Estado de Santa Catarina, inscrito no CNPJ nº 78.510.112/0001-80, </w:t>
      </w:r>
      <w:r>
        <w:rPr>
          <w:rFonts w:ascii="Arial" w:hAnsi="Arial"/>
          <w:iCs/>
          <w:sz w:val="21"/>
          <w:szCs w:val="21"/>
        </w:rPr>
        <w:t xml:space="preserve">torna público para conhecimento de todos os </w:t>
      </w:r>
      <w:r>
        <w:rPr>
          <w:rFonts w:ascii="Arial" w:hAnsi="Arial"/>
          <w:sz w:val="21"/>
          <w:szCs w:val="21"/>
        </w:rPr>
        <w:t xml:space="preserve">interessados que realizará processo de dispensa de licitação conforme objeto abaixo, nos termos do art. 75, inciso II, da Lei Federal n. 14.133/2021 e conforme previsto pelo Decreto n. 4.072/2024 do </w:t>
      </w:r>
      <w:r>
        <w:rPr>
          <w:rFonts w:eastAsia="Times New Roman" w:cs="Arial" w:ascii="Arial" w:hAnsi="Arial"/>
          <w:bCs/>
          <w:iCs/>
          <w:sz w:val="21"/>
          <w:szCs w:val="21"/>
          <w:lang w:eastAsia="pt-BR"/>
        </w:rPr>
        <w:t>Município de Lindoia do Sul/SC</w:t>
      </w:r>
      <w:r>
        <w:rPr>
          <w:rFonts w:ascii="Arial" w:hAnsi="Arial"/>
          <w:sz w:val="21"/>
          <w:szCs w:val="21"/>
        </w:rPr>
        <w:t>.</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center"/>
        <w:rPr>
          <w:rFonts w:ascii="Arial" w:hAnsi="Arial"/>
        </w:rPr>
      </w:pPr>
      <w:r>
        <w:rPr>
          <w:rFonts w:ascii="Arial" w:hAnsi="Arial"/>
          <w:b/>
          <w:sz w:val="21"/>
          <w:szCs w:val="21"/>
        </w:rPr>
        <w:t>I – DO OBJETO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eastAsia="Calibri" w:ascii="Arial" w:hAnsi="Arial" w:eastAsiaTheme="minorHAnsi"/>
          <w:sz w:val="21"/>
          <w:szCs w:val="21"/>
          <w:shd w:fill="auto" w:val="clear"/>
        </w:rPr>
        <w:t xml:space="preserve">1.1. </w:t>
      </w:r>
      <w:r>
        <w:rPr>
          <w:rFonts w:eastAsia="Calibri" w:ascii="Arial" w:hAnsi="Arial" w:eastAsiaTheme="minorHAnsi"/>
          <w:bCs/>
          <w:sz w:val="21"/>
          <w:szCs w:val="21"/>
          <w:shd w:fill="auto" w:val="clear"/>
        </w:rPr>
        <w:t>O objeto deste processo compreende a</w:t>
      </w:r>
      <w:r>
        <w:rPr>
          <w:rFonts w:eastAsia="Calibri" w:ascii="Arial" w:hAnsi="Arial" w:eastAsiaTheme="minorHAnsi"/>
          <w:bCs/>
          <w:color w:val="000000"/>
          <w:sz w:val="21"/>
          <w:szCs w:val="21"/>
          <w:shd w:fill="auto" w:val="clear"/>
        </w:rPr>
        <w:t xml:space="preserve"> </w:t>
      </w:r>
      <w:r>
        <w:rPr>
          <w:rFonts w:eastAsia="Calibri" w:ascii="Arial" w:hAnsi="Arial" w:eastAsiaTheme="minorHAnsi"/>
          <w:bCs/>
          <w:color w:val="000000"/>
          <w:sz w:val="21"/>
          <w:szCs w:val="21"/>
          <w:shd w:fill="auto" w:val="clear"/>
        </w:rPr>
        <w:t>c</w:t>
      </w:r>
      <w:r>
        <w:rPr>
          <w:rFonts w:eastAsia="Calibri" w:ascii="Arial" w:hAnsi="Arial" w:eastAsiaTheme="minorHAnsi"/>
          <w:bCs/>
          <w:color w:val="000000"/>
          <w:sz w:val="21"/>
          <w:szCs w:val="21"/>
          <w:shd w:fill="auto" w:val="clear"/>
        </w:rPr>
        <w:t>ontratação direta de empresa para fornecimento de chapa de policarbonato com os demais itens e prestação de serviço para manutenção da cobertura de toldo existente na entrada do Centro de Educação Infantil Roselene Fátima Bussolaro, conforme especificações constantes no Termo de Referência.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1.2. Segue a descrição do objeto que se pretende contratar, com valor estimado de referência:</w:t>
      </w:r>
    </w:p>
    <w:p>
      <w:pPr>
        <w:pStyle w:val="Normal"/>
        <w:spacing w:lineRule="auto" w:line="360" w:before="0" w:after="0"/>
        <w:jc w:val="center"/>
        <w:rPr>
          <w:rFonts w:ascii="Arial" w:hAnsi="Arial"/>
          <w:sz w:val="21"/>
          <w:szCs w:val="21"/>
        </w:rPr>
      </w:pPr>
      <w:r>
        <w:rPr>
          <w:rFonts w:ascii="Arial" w:hAnsi="Arial"/>
          <w:sz w:val="21"/>
          <w:szCs w:val="21"/>
        </w:rPr>
      </w:r>
    </w:p>
    <w:tbl>
      <w:tblPr>
        <w:tblW w:w="10560" w:type="dxa"/>
        <w:jc w:val="left"/>
        <w:tblInd w:w="-961" w:type="dxa"/>
        <w:tblLayout w:type="fixed"/>
        <w:tblCellMar>
          <w:top w:w="0" w:type="dxa"/>
          <w:left w:w="70" w:type="dxa"/>
          <w:bottom w:w="0" w:type="dxa"/>
          <w:right w:w="70" w:type="dxa"/>
        </w:tblCellMar>
      </w:tblPr>
      <w:tblGrid>
        <w:gridCol w:w="705"/>
        <w:gridCol w:w="735"/>
        <w:gridCol w:w="1073"/>
        <w:gridCol w:w="5268"/>
        <w:gridCol w:w="1370"/>
        <w:gridCol w:w="1408"/>
      </w:tblGrid>
      <w:tr>
        <w:trPr>
          <w:tblHeader w:val="true"/>
          <w:trHeight w:val="567" w:hRule="atLeast"/>
        </w:trPr>
        <w:tc>
          <w:tcPr>
            <w:tcW w:w="705"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bookmarkStart w:id="0" w:name="_Hlk141098965"/>
            <w:bookmarkStart w:id="1" w:name="_Hlk128582997"/>
            <w:bookmarkEnd w:id="0"/>
            <w:bookmarkEnd w:id="1"/>
            <w:r>
              <w:rPr>
                <w:rFonts w:eastAsia="Times New Roman" w:ascii="Arial" w:hAnsi="Arial"/>
                <w:b/>
                <w:bCs/>
                <w:color w:val="000000"/>
                <w:sz w:val="21"/>
                <w:szCs w:val="21"/>
                <w:lang w:val="pt-BR" w:eastAsia="pt-BR"/>
              </w:rPr>
              <w:t>ITEM</w:t>
            </w:r>
          </w:p>
        </w:tc>
        <w:tc>
          <w:tcPr>
            <w:tcW w:w="735"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QTD</w:t>
            </w:r>
          </w:p>
        </w:tc>
        <w:tc>
          <w:tcPr>
            <w:tcW w:w="1073"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sz w:val="20"/>
                <w:szCs w:val="20"/>
              </w:rPr>
            </w:pPr>
            <w:r>
              <w:rPr>
                <w:rFonts w:eastAsia="Times New Roman" w:ascii="Arial" w:hAnsi="Arial"/>
                <w:b/>
                <w:bCs/>
                <w:color w:val="000000"/>
                <w:sz w:val="20"/>
                <w:szCs w:val="20"/>
                <w:lang w:val="pt-BR" w:eastAsia="pt-BR"/>
              </w:rPr>
              <w:t>UNIDADE</w:t>
            </w:r>
          </w:p>
        </w:tc>
        <w:tc>
          <w:tcPr>
            <w:tcW w:w="5268" w:type="dxa"/>
            <w:tcBorders>
              <w:top w:val="single" w:sz="8" w:space="0" w:color="000000"/>
              <w:bottom w:val="single" w:sz="8" w:space="0" w:color="000000"/>
              <w:right w:val="single" w:sz="4"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DESCRIÇÃO</w:t>
            </w:r>
          </w:p>
        </w:tc>
        <w:tc>
          <w:tcPr>
            <w:tcW w:w="1370"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 xml:space="preserve">PREÇO ESTIMADO UNITÁRIO </w:t>
            </w:r>
          </w:p>
        </w:tc>
        <w:tc>
          <w:tcPr>
            <w:tcW w:w="1408"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jc w:val="center"/>
              <w:rPr>
                <w:rFonts w:ascii="Arial" w:hAnsi="Arial"/>
              </w:rPr>
            </w:pPr>
            <w:r>
              <w:rPr>
                <w:rFonts w:eastAsia="Times New Roman" w:ascii="Arial" w:hAnsi="Arial"/>
                <w:b/>
                <w:bCs/>
                <w:color w:val="000000"/>
                <w:sz w:val="21"/>
                <w:szCs w:val="21"/>
                <w:lang w:val="pt-BR" w:eastAsia="pt-BR"/>
              </w:rPr>
              <w:t xml:space="preserve">PREÇO </w:t>
            </w:r>
          </w:p>
          <w:p>
            <w:pPr>
              <w:pStyle w:val="Normal"/>
              <w:widowControl w:val="false"/>
              <w:spacing w:lineRule="auto" w:line="240"/>
              <w:jc w:val="center"/>
              <w:rPr>
                <w:rFonts w:ascii="Arial" w:hAnsi="Arial"/>
              </w:rPr>
            </w:pPr>
            <w:r>
              <w:rPr>
                <w:rFonts w:eastAsia="Times New Roman" w:ascii="Arial" w:hAnsi="Arial"/>
                <w:b/>
                <w:bCs/>
                <w:color w:val="000000"/>
                <w:sz w:val="21"/>
                <w:szCs w:val="21"/>
                <w:lang w:val="pt-BR" w:eastAsia="pt-BR"/>
              </w:rPr>
              <w:t>ESTIMADO</w:t>
            </w:r>
          </w:p>
          <w:p>
            <w:pPr>
              <w:pStyle w:val="Normal"/>
              <w:widowControl w:val="false"/>
              <w:spacing w:lineRule="auto" w:line="240" w:before="0" w:after="160"/>
              <w:jc w:val="center"/>
              <w:rPr>
                <w:rFonts w:ascii="Arial" w:hAnsi="Arial"/>
              </w:rPr>
            </w:pPr>
            <w:r>
              <w:rPr>
                <w:rFonts w:eastAsia="Times New Roman" w:ascii="Arial" w:hAnsi="Arial"/>
                <w:b/>
                <w:bCs/>
                <w:color w:val="000000"/>
                <w:sz w:val="21"/>
                <w:szCs w:val="21"/>
                <w:lang w:val="pt-BR" w:eastAsia="pt-BR"/>
              </w:rPr>
              <w:t>TOTAL</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eastAsia="Calibri" w:ascii="Arial" w:hAnsi="Arial"/>
                <w:sz w:val="21"/>
                <w:szCs w:val="21"/>
                <w:lang w:val="pt-BR" w:eastAsia="en-US"/>
              </w:rPr>
              <w:t>01</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01</w:t>
            </w:r>
          </w:p>
        </w:tc>
        <w:tc>
          <w:tcPr>
            <w:tcW w:w="1073"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UN</w:t>
            </w:r>
          </w:p>
        </w:tc>
        <w:tc>
          <w:tcPr>
            <w:tcW w:w="5268"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lang w:val="pt-BR"/>
              </w:rPr>
              <w:t>FOLHA DE POLICARBONATO COR FUME, TAMANHO 6X2, 10 METROS 6MM.</w:t>
            </w:r>
          </w:p>
        </w:tc>
        <w:tc>
          <w:tcPr>
            <w:tcW w:w="137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R$</w:t>
            </w:r>
            <w:r>
              <w:rPr>
                <w:rFonts w:ascii="Arial" w:hAnsi="Arial"/>
                <w:sz w:val="21"/>
                <w:szCs w:val="21"/>
                <w:lang w:val="pt-BR"/>
              </w:rPr>
              <w:t xml:space="preserve"> 1.100,00</w:t>
            </w:r>
          </w:p>
        </w:tc>
        <w:tc>
          <w:tcPr>
            <w:tcW w:w="1408"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 xml:space="preserve">R$ </w:t>
            </w:r>
            <w:r>
              <w:rPr>
                <w:rFonts w:ascii="Arial" w:hAnsi="Arial"/>
                <w:sz w:val="21"/>
                <w:szCs w:val="21"/>
                <w:lang w:val="pt-BR"/>
              </w:rPr>
              <w:t>1.100,00</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eastAsia="Calibri" w:ascii="Arial" w:hAnsi="Arial"/>
                <w:sz w:val="21"/>
                <w:szCs w:val="21"/>
                <w:lang w:val="pt-BR" w:eastAsia="en-US"/>
              </w:rPr>
              <w:t>02</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25</w:t>
            </w:r>
          </w:p>
        </w:tc>
        <w:tc>
          <w:tcPr>
            <w:tcW w:w="1073"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UN</w:t>
            </w:r>
          </w:p>
        </w:tc>
        <w:tc>
          <w:tcPr>
            <w:tcW w:w="5268"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lang w:val="pt-BR"/>
              </w:rPr>
              <w:t>PARAFUSO AUTOBROCANTE PARA PRENDER A FOLHA DE POLICARBONATO EM ESTRUTURA DE FERRO.</w:t>
            </w:r>
          </w:p>
        </w:tc>
        <w:tc>
          <w:tcPr>
            <w:tcW w:w="137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 xml:space="preserve">R$ </w:t>
            </w:r>
            <w:r>
              <w:rPr>
                <w:rFonts w:eastAsia="Times New Roman" w:cs="Calibri" w:ascii="Arial" w:hAnsi="Arial"/>
                <w:color w:val="000000"/>
                <w:sz w:val="21"/>
                <w:szCs w:val="21"/>
                <w:lang w:val="pt-BR" w:eastAsia="pt-BR" w:bidi="ar-SA"/>
              </w:rPr>
              <w:t>2,00</w:t>
            </w:r>
          </w:p>
        </w:tc>
        <w:tc>
          <w:tcPr>
            <w:tcW w:w="1408"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 xml:space="preserve">R$ </w:t>
            </w:r>
            <w:r>
              <w:rPr>
                <w:rFonts w:eastAsia="Times New Roman" w:cs="Calibri" w:ascii="Arial" w:hAnsi="Arial"/>
                <w:color w:val="000000"/>
                <w:sz w:val="21"/>
                <w:szCs w:val="21"/>
                <w:lang w:val="pt-BR" w:eastAsia="pt-BR" w:bidi="ar-SA"/>
              </w:rPr>
              <w:t>50,00</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eastAsia="Calibri" w:ascii="Arial" w:hAnsi="Arial"/>
                <w:sz w:val="21"/>
                <w:szCs w:val="21"/>
                <w:lang w:val="pt-BR" w:eastAsia="en-US"/>
              </w:rPr>
              <w:t>03</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2,10</w:t>
            </w:r>
          </w:p>
        </w:tc>
        <w:tc>
          <w:tcPr>
            <w:tcW w:w="1073"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METRO</w:t>
            </w:r>
          </w:p>
        </w:tc>
        <w:tc>
          <w:tcPr>
            <w:tcW w:w="5268"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lang w:val="pt-BR"/>
              </w:rPr>
              <w:t>PERFIL H, EMENDA PARA FOLHA DE POLICARBONATO 6MM</w:t>
            </w:r>
          </w:p>
        </w:tc>
        <w:tc>
          <w:tcPr>
            <w:tcW w:w="137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 xml:space="preserve">R$ </w:t>
            </w:r>
            <w:r>
              <w:rPr>
                <w:rFonts w:eastAsia="Times New Roman" w:cs="Calibri" w:ascii="Arial" w:hAnsi="Arial"/>
                <w:color w:val="000000"/>
                <w:sz w:val="21"/>
                <w:szCs w:val="21"/>
                <w:lang w:val="pt-BR" w:eastAsia="pt-BR" w:bidi="ar-SA"/>
              </w:rPr>
              <w:t>75,00</w:t>
            </w:r>
          </w:p>
        </w:tc>
        <w:tc>
          <w:tcPr>
            <w:tcW w:w="1408"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eastAsia="Times New Roman" w:cs="Calibri" w:ascii="Arial" w:hAnsi="Arial"/>
                <w:color w:val="000000"/>
                <w:sz w:val="21"/>
                <w:szCs w:val="21"/>
                <w:lang w:val="pt-BR" w:eastAsia="pt-BR" w:bidi="ar-SA"/>
              </w:rPr>
              <w:t xml:space="preserve">R$ </w:t>
            </w:r>
            <w:r>
              <w:rPr>
                <w:rFonts w:eastAsia="Times New Roman" w:cs="Calibri" w:ascii="Arial" w:hAnsi="Arial"/>
                <w:color w:val="000000"/>
                <w:sz w:val="21"/>
                <w:szCs w:val="21"/>
                <w:lang w:val="pt-BR" w:eastAsia="pt-BR" w:bidi="ar-SA"/>
              </w:rPr>
              <w:t>157,50</w:t>
            </w:r>
          </w:p>
        </w:tc>
      </w:tr>
      <w:tr>
        <w:trPr>
          <w:trHeight w:val="567" w:hRule="atLeast"/>
        </w:trPr>
        <w:tc>
          <w:tcPr>
            <w:tcW w:w="705"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eastAsia="Calibri"/>
                <w:sz w:val="21"/>
                <w:szCs w:val="21"/>
                <w:lang w:val="pt-BR" w:eastAsia="en-US"/>
              </w:rPr>
            </w:pPr>
            <w:r>
              <w:rPr>
                <w:rFonts w:eastAsia="Calibri" w:ascii="Arial" w:hAnsi="Arial"/>
                <w:sz w:val="21"/>
                <w:szCs w:val="21"/>
                <w:lang w:val="pt-BR" w:eastAsia="en-US"/>
              </w:rPr>
              <w:t>04</w:t>
            </w:r>
          </w:p>
        </w:tc>
        <w:tc>
          <w:tcPr>
            <w:tcW w:w="735"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t>1</w:t>
            </w:r>
          </w:p>
        </w:tc>
        <w:tc>
          <w:tcPr>
            <w:tcW w:w="1073"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lang w:val="pt-BR"/>
              </w:rPr>
            </w:pPr>
            <w:r>
              <w:rPr>
                <w:rFonts w:ascii="Arial" w:hAnsi="Arial"/>
                <w:sz w:val="21"/>
                <w:szCs w:val="21"/>
                <w:lang w:val="pt-BR"/>
              </w:rPr>
              <w:t>SERV</w:t>
            </w:r>
          </w:p>
        </w:tc>
        <w:tc>
          <w:tcPr>
            <w:tcW w:w="5268" w:type="dxa"/>
            <w:tcBorders>
              <w:bottom w:val="single" w:sz="8" w:space="0" w:color="000000"/>
              <w:right w:val="single" w:sz="4"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S</w:t>
            </w:r>
            <w:r>
              <w:rPr>
                <w:rFonts w:ascii="Arial" w:hAnsi="Arial"/>
                <w:sz w:val="21"/>
                <w:szCs w:val="21"/>
              </w:rPr>
              <w:t>ERVIÇO DE INSTALAÇÃO COMPLETA DO POLICARBONATO, COM PARAFUSOS E COLOCAÇÃO DE EMENDA</w:t>
            </w:r>
          </w:p>
        </w:tc>
        <w:tc>
          <w:tcPr>
            <w:tcW w:w="1370"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 xml:space="preserve">R$ </w:t>
            </w:r>
            <w:r>
              <w:rPr>
                <w:rFonts w:ascii="Arial" w:hAnsi="Arial"/>
                <w:sz w:val="21"/>
                <w:szCs w:val="21"/>
                <w:lang w:val="pt-BR"/>
              </w:rPr>
              <w:t>600,00</w:t>
            </w:r>
          </w:p>
        </w:tc>
        <w:tc>
          <w:tcPr>
            <w:tcW w:w="1408" w:type="dxa"/>
            <w:tcBorders>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sz w:val="21"/>
                <w:szCs w:val="21"/>
                <w:lang w:val="pt-BR"/>
              </w:rPr>
              <w:t xml:space="preserve">R$ </w:t>
            </w:r>
            <w:r>
              <w:rPr>
                <w:rFonts w:ascii="Arial" w:hAnsi="Arial"/>
                <w:sz w:val="21"/>
                <w:szCs w:val="21"/>
                <w:lang w:val="pt-BR"/>
              </w:rPr>
              <w:t>600,00</w:t>
            </w:r>
          </w:p>
        </w:tc>
      </w:tr>
      <w:tr>
        <w:trPr>
          <w:trHeight w:val="567" w:hRule="atLeast"/>
        </w:trPr>
        <w:tc>
          <w:tcPr>
            <w:tcW w:w="7781" w:type="dxa"/>
            <w:gridSpan w:val="4"/>
            <w:tcBorders>
              <w:top w:val="single" w:sz="4" w:space="0" w:color="000000"/>
            </w:tcBorders>
            <w:vAlign w:val="center"/>
          </w:tcPr>
          <w:p>
            <w:pPr>
              <w:pStyle w:val="Normal"/>
              <w:widowControl w:val="false"/>
              <w:snapToGrid w:val="false"/>
              <w:spacing w:lineRule="auto" w:line="240" w:before="0" w:after="160"/>
              <w:jc w:val="both"/>
              <w:rPr>
                <w:rFonts w:ascii="Arial" w:hAnsi="Arial" w:eastAsia="Times New Roman"/>
                <w:color w:val="000000"/>
                <w:sz w:val="21"/>
                <w:szCs w:val="21"/>
                <w:lang w:val="pt-BR" w:eastAsia="pt-BR"/>
              </w:rPr>
            </w:pPr>
            <w:r>
              <w:rPr>
                <w:rFonts w:eastAsia="Times New Roman" w:ascii="Arial" w:hAnsi="Arial"/>
                <w:color w:val="000000"/>
                <w:sz w:val="21"/>
                <w:szCs w:val="21"/>
                <w:lang w:val="pt-BR" w:eastAsia="pt-BR"/>
              </w:rPr>
            </w:r>
          </w:p>
        </w:tc>
        <w:tc>
          <w:tcPr>
            <w:tcW w:w="1370"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val="pt-BR" w:eastAsia="pt-BR"/>
              </w:rPr>
              <w:t>VALOR TOTAL DA CONTR.</w:t>
            </w:r>
          </w:p>
        </w:tc>
        <w:tc>
          <w:tcPr>
            <w:tcW w:w="1408"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160"/>
              <w:jc w:val="center"/>
              <w:rPr>
                <w:b/>
                <w:b/>
                <w:bCs/>
              </w:rPr>
            </w:pPr>
            <w:r>
              <w:rPr>
                <w:rFonts w:eastAsia="Times New Roman" w:cs="Calibri" w:ascii="Arial" w:hAnsi="Arial"/>
                <w:b/>
                <w:bCs/>
                <w:color w:val="000000"/>
                <w:sz w:val="21"/>
                <w:szCs w:val="21"/>
                <w:lang w:val="pt-BR" w:eastAsia="pt-BR" w:bidi="ar-SA"/>
              </w:rPr>
              <w:t xml:space="preserve">R$ </w:t>
            </w:r>
            <w:r>
              <w:rPr>
                <w:rFonts w:eastAsia="Times New Roman" w:cs="Calibri" w:ascii="Arial" w:hAnsi="Arial"/>
                <w:b/>
                <w:bCs/>
                <w:color w:val="000000"/>
                <w:sz w:val="21"/>
                <w:szCs w:val="21"/>
                <w:lang w:val="pt-BR" w:eastAsia="pt-BR" w:bidi="ar-SA"/>
              </w:rPr>
              <w:t>1.907,50</w:t>
            </w:r>
          </w:p>
        </w:tc>
      </w:tr>
    </w:tbl>
    <w:p>
      <w:pPr>
        <w:pStyle w:val="Normal"/>
        <w:spacing w:lineRule="auto" w:line="360" w:before="0" w:after="0"/>
        <w:jc w:val="center"/>
        <w:rPr>
          <w:rFonts w:ascii="Arial" w:hAnsi="Arial"/>
        </w:rPr>
      </w:pPr>
      <w:r>
        <w:rPr>
          <w:rFonts w:ascii="Arial" w:hAnsi="Arial"/>
        </w:rPr>
      </w:r>
    </w:p>
    <w:p>
      <w:pPr>
        <w:pStyle w:val="Normal"/>
        <w:spacing w:lineRule="auto" w:line="360" w:before="0" w:after="0"/>
        <w:jc w:val="center"/>
        <w:rPr>
          <w:rFonts w:ascii="Arial" w:hAnsi="Arial"/>
        </w:rPr>
      </w:pPr>
      <w:r>
        <w:rPr>
          <w:rFonts w:ascii="Arial" w:hAnsi="Arial"/>
          <w:b/>
          <w:sz w:val="21"/>
          <w:szCs w:val="21"/>
        </w:rPr>
        <w:t>II – DO PRAZO DA DIVULGAÇÃO</w:t>
      </w:r>
    </w:p>
    <w:p>
      <w:pPr>
        <w:pStyle w:val="Normal"/>
        <w:spacing w:lineRule="auto" w:line="360" w:before="0" w:after="0"/>
        <w:jc w:val="both"/>
        <w:rPr>
          <w:rFonts w:ascii="Arial" w:hAnsi="Arial"/>
          <w:bCs/>
          <w:sz w:val="21"/>
          <w:szCs w:val="21"/>
        </w:rPr>
      </w:pPr>
      <w:r>
        <w:rPr>
          <w:rFonts w:ascii="Arial" w:hAnsi="Arial"/>
          <w:bCs/>
          <w:sz w:val="21"/>
          <w:szCs w:val="21"/>
        </w:rPr>
      </w:r>
    </w:p>
    <w:p>
      <w:pPr>
        <w:pStyle w:val="Normal"/>
        <w:spacing w:lineRule="auto" w:line="360" w:before="0" w:after="0"/>
        <w:jc w:val="both"/>
        <w:rPr>
          <w:rFonts w:ascii="Arial" w:hAnsi="Arial"/>
        </w:rPr>
      </w:pPr>
      <w:r>
        <w:rPr>
          <w:rFonts w:ascii="Arial" w:hAnsi="Arial"/>
          <w:bCs/>
          <w:sz w:val="21"/>
          <w:szCs w:val="21"/>
        </w:rPr>
        <w:t xml:space="preserve">2.1. O prazo para apresentação de propostas adicionais pelos eventuais interessados inicia em </w:t>
      </w:r>
      <w:r>
        <w:rPr>
          <w:rFonts w:ascii="Arial" w:hAnsi="Arial"/>
          <w:bCs/>
          <w:sz w:val="21"/>
          <w:szCs w:val="21"/>
        </w:rPr>
        <w:t>02</w:t>
      </w:r>
      <w:r>
        <w:rPr>
          <w:rFonts w:ascii="Arial" w:hAnsi="Arial"/>
          <w:bCs/>
          <w:sz w:val="21"/>
          <w:szCs w:val="21"/>
        </w:rPr>
        <w:t xml:space="preserve"> de </w:t>
      </w:r>
      <w:r>
        <w:rPr>
          <w:rFonts w:ascii="Arial" w:hAnsi="Arial"/>
          <w:bCs/>
          <w:sz w:val="21"/>
          <w:szCs w:val="21"/>
        </w:rPr>
        <w:t>dezembro</w:t>
      </w:r>
      <w:r>
        <w:rPr>
          <w:rFonts w:ascii="Arial" w:hAnsi="Arial"/>
          <w:bCs/>
          <w:sz w:val="21"/>
          <w:szCs w:val="21"/>
        </w:rPr>
        <w:t xml:space="preserve"> </w:t>
      </w:r>
      <w:r>
        <w:rPr>
          <w:rFonts w:ascii="Arial" w:hAnsi="Arial"/>
          <w:bCs/>
          <w:color w:val="000000"/>
          <w:sz w:val="21"/>
          <w:szCs w:val="21"/>
        </w:rPr>
        <w:t xml:space="preserve">de 2024 e encerra em </w:t>
      </w:r>
      <w:r>
        <w:rPr>
          <w:rFonts w:ascii="Arial" w:hAnsi="Arial"/>
          <w:bCs/>
          <w:color w:val="000000"/>
          <w:sz w:val="21"/>
          <w:szCs w:val="21"/>
        </w:rPr>
        <w:t>04</w:t>
      </w:r>
      <w:r>
        <w:rPr>
          <w:rFonts w:ascii="Arial" w:hAnsi="Arial"/>
          <w:bCs/>
          <w:color w:val="000000"/>
          <w:sz w:val="21"/>
          <w:szCs w:val="21"/>
        </w:rPr>
        <w:t xml:space="preserve"> de </w:t>
      </w:r>
      <w:r>
        <w:rPr>
          <w:rFonts w:ascii="Arial" w:hAnsi="Arial"/>
          <w:bCs/>
          <w:color w:val="000000"/>
          <w:sz w:val="21"/>
          <w:szCs w:val="21"/>
        </w:rPr>
        <w:t>dezembro</w:t>
      </w:r>
      <w:r>
        <w:rPr>
          <w:rFonts w:ascii="Arial" w:hAnsi="Arial"/>
          <w:bCs/>
          <w:color w:val="000000"/>
          <w:sz w:val="21"/>
          <w:szCs w:val="21"/>
        </w:rPr>
        <w:t xml:space="preserve"> de 2024 às 23h59.</w:t>
      </w:r>
    </w:p>
    <w:p>
      <w:pPr>
        <w:pStyle w:val="Normal"/>
        <w:spacing w:lineRule="auto" w:line="360" w:before="0" w:after="0"/>
        <w:jc w:val="both"/>
        <w:rPr>
          <w:rFonts w:ascii="Arial" w:hAnsi="Arial"/>
        </w:rPr>
      </w:pPr>
      <w:r>
        <w:rPr>
          <w:rFonts w:ascii="Arial" w:hAnsi="Arial"/>
        </w:rPr>
      </w:r>
    </w:p>
    <w:p>
      <w:pPr>
        <w:pStyle w:val="Normal"/>
        <w:spacing w:lineRule="auto" w:line="360" w:before="0" w:after="0"/>
        <w:jc w:val="both"/>
        <w:rPr>
          <w:rFonts w:ascii="Arial" w:hAnsi="Arial"/>
        </w:rPr>
      </w:pPr>
      <w:r>
        <w:rPr>
          <w:rFonts w:ascii="Arial" w:hAnsi="Arial"/>
        </w:rPr>
      </w:r>
    </w:p>
    <w:p>
      <w:pPr>
        <w:pStyle w:val="Normal"/>
        <w:spacing w:lineRule="auto" w:line="360" w:before="0" w:after="0"/>
        <w:jc w:val="center"/>
        <w:rPr>
          <w:rFonts w:ascii="Arial" w:hAnsi="Arial"/>
        </w:rPr>
      </w:pPr>
      <w:r>
        <w:rPr>
          <w:rFonts w:ascii="Arial" w:hAnsi="Arial"/>
          <w:b/>
          <w:sz w:val="21"/>
          <w:szCs w:val="21"/>
        </w:rPr>
        <w:t>III – DO PROCEDIMENTO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pPr>
      <w:r>
        <w:rPr>
          <w:rFonts w:ascii="Arial" w:hAnsi="Arial"/>
          <w:sz w:val="21"/>
          <w:szCs w:val="21"/>
        </w:rPr>
        <w:t xml:space="preserve">3.1. Os eventuais interessados deverão encaminhar suas propostas para o endereço eletrônico </w:t>
      </w:r>
      <w:r>
        <w:rPr>
          <w:rStyle w:val="LinkdaInternet"/>
          <w:rFonts w:ascii="Arial" w:hAnsi="Arial"/>
          <w:sz w:val="21"/>
          <w:szCs w:val="21"/>
        </w:rPr>
        <w:t>licita@lindoiadosul.sc.gov.br</w:t>
      </w:r>
      <w:r>
        <w:rPr>
          <w:rFonts w:ascii="Arial" w:hAnsi="Arial"/>
          <w:sz w:val="21"/>
          <w:szCs w:val="21"/>
        </w:rPr>
        <w:t xml:space="preserve"> no prazo supracitado, as quais observarão o disposto a seguir:</w:t>
      </w:r>
    </w:p>
    <w:p>
      <w:pPr>
        <w:pStyle w:val="Normal"/>
        <w:spacing w:lineRule="auto" w:line="360" w:before="0" w:after="0"/>
        <w:ind w:left="567" w:hanging="0"/>
        <w:jc w:val="both"/>
        <w:rPr>
          <w:rFonts w:ascii="Arial" w:hAnsi="Arial"/>
        </w:rPr>
      </w:pPr>
      <w:r>
        <w:rPr>
          <w:rFonts w:ascii="Arial" w:hAnsi="Arial"/>
          <w:sz w:val="21"/>
          <w:szCs w:val="21"/>
        </w:rPr>
        <w:t xml:space="preserve">a) conter o nome do proponente, endereço, identificação (individual ou social), o nº do CNPJ e da Inscrição Estadual, número de telefone, e e-mail; </w:t>
      </w:r>
    </w:p>
    <w:p>
      <w:pPr>
        <w:pStyle w:val="Normal"/>
        <w:spacing w:lineRule="auto" w:line="360" w:before="0" w:after="0"/>
        <w:ind w:left="567" w:hanging="0"/>
        <w:jc w:val="both"/>
        <w:rPr>
          <w:rFonts w:ascii="Arial" w:hAnsi="Arial"/>
        </w:rPr>
      </w:pPr>
      <w:r>
        <w:rPr>
          <w:rFonts w:ascii="Arial" w:hAnsi="Arial"/>
          <w:sz w:val="21"/>
          <w:szCs w:val="21"/>
        </w:rPr>
        <w:t xml:space="preserve">b) suas folhas devem estar datadas, assinadas e rubricadas pelo seu representante legal, podendo ser de forma digital, desde que atendidos os requisitos legais; </w:t>
      </w:r>
    </w:p>
    <w:p>
      <w:pPr>
        <w:pStyle w:val="Normal"/>
        <w:spacing w:lineRule="auto" w:line="360" w:before="0" w:after="0"/>
        <w:ind w:left="567" w:hanging="0"/>
        <w:jc w:val="both"/>
        <w:rPr>
          <w:rFonts w:ascii="Arial" w:hAnsi="Arial"/>
        </w:rPr>
      </w:pPr>
      <w:r>
        <w:rPr>
          <w:rFonts w:ascii="Arial" w:hAnsi="Arial"/>
          <w:sz w:val="21"/>
          <w:szCs w:val="21"/>
        </w:rPr>
        <w:t xml:space="preserve">c) nos preços propostos deverão estar incluídos todos os custos diretos e indiretos necessários à perfeita execução do objeto,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pPr>
        <w:pStyle w:val="Normal"/>
        <w:spacing w:lineRule="auto" w:line="360" w:before="0" w:after="0"/>
        <w:ind w:left="567" w:hanging="0"/>
        <w:jc w:val="both"/>
        <w:rPr>
          <w:rFonts w:ascii="Arial" w:hAnsi="Arial"/>
        </w:rPr>
      </w:pPr>
      <w:r>
        <w:rPr>
          <w:rFonts w:ascii="Arial" w:hAnsi="Arial"/>
          <w:sz w:val="21"/>
          <w:szCs w:val="21"/>
        </w:rPr>
        <w:t xml:space="preserve">d) o prazo de validade da proposta de preços que não poderá ser inferior a 60 (sessenta) dias, contados da abertura do prazo para envio; </w:t>
      </w:r>
    </w:p>
    <w:p>
      <w:pPr>
        <w:pStyle w:val="Normal"/>
        <w:spacing w:lineRule="auto" w:line="360" w:before="0" w:after="0"/>
        <w:ind w:left="567" w:hanging="0"/>
        <w:jc w:val="both"/>
        <w:rPr>
          <w:rFonts w:ascii="Arial" w:hAnsi="Arial"/>
        </w:rPr>
      </w:pPr>
      <w:r>
        <w:rPr>
          <w:rFonts w:ascii="Arial" w:hAnsi="Arial"/>
          <w:sz w:val="21"/>
          <w:szCs w:val="21"/>
        </w:rPr>
        <w:t xml:space="preserve">e) conter valor unitário e valor total com a quantidade estimada, o valor total deverá constar também por extenso; </w:t>
      </w:r>
    </w:p>
    <w:p>
      <w:pPr>
        <w:pStyle w:val="Normal"/>
        <w:spacing w:lineRule="auto" w:line="360" w:before="0" w:after="0"/>
        <w:ind w:left="567" w:hanging="0"/>
        <w:jc w:val="both"/>
        <w:rPr>
          <w:rFonts w:ascii="Arial" w:hAnsi="Arial"/>
        </w:rPr>
      </w:pPr>
      <w:r>
        <w:rPr>
          <w:rFonts w:ascii="Arial" w:hAnsi="Arial"/>
          <w:sz w:val="21"/>
          <w:szCs w:val="21"/>
        </w:rPr>
        <w:t>f) conter discriminados em moeda corrente nacional os preços dos itens limitados a 02 (duas) casas decimais para os centavos; e</w:t>
      </w:r>
    </w:p>
    <w:p>
      <w:pPr>
        <w:pStyle w:val="Normal"/>
        <w:spacing w:lineRule="auto" w:line="360" w:before="0" w:after="0"/>
        <w:ind w:left="567" w:hanging="0"/>
        <w:jc w:val="both"/>
        <w:rPr>
          <w:rFonts w:ascii="Arial" w:hAnsi="Arial"/>
        </w:rPr>
      </w:pPr>
      <w:r>
        <w:rPr>
          <w:rFonts w:ascii="Arial" w:hAnsi="Arial"/>
          <w:sz w:val="21"/>
          <w:szCs w:val="21"/>
        </w:rPr>
        <w:t>g) especificação completa do produto oferecido de acordo com as apresentadas na Proposta Eletrônica com informações técnicas que possibilitem a sua completa avaliação, totalmente e estritamente conforme descrito acima.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rPr>
        <w:t>in albis</w:t>
      </w:r>
      <w:r>
        <w:rPr>
          <w:rFonts w:ascii="Arial" w:hAnsi="Arial"/>
          <w:sz w:val="21"/>
          <w:szCs w:val="21"/>
        </w:rPr>
        <w:t>.</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3.4. A seleção da contratada não estará restrita àqueles que encaminharem suas propostas, podendo a Administração selecionar a proposta de terceiro alheio a este procedimento.</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3.6. Dúvidas ou esclarecimentos poderão ser solicitadas através do endereço eletrônico supracitado.</w:t>
      </w:r>
    </w:p>
    <w:p>
      <w:pPr>
        <w:pStyle w:val="Normal"/>
        <w:spacing w:lineRule="auto" w:line="360" w:before="0" w:after="0"/>
        <w:jc w:val="both"/>
        <w:rPr>
          <w:rFonts w:ascii="Arial" w:hAnsi="Arial"/>
        </w:rPr>
      </w:pPr>
      <w:r>
        <w:rPr>
          <w:rFonts w:ascii="Arial" w:hAnsi="Arial"/>
        </w:rPr>
      </w:r>
    </w:p>
    <w:p>
      <w:pPr>
        <w:pStyle w:val="Normal"/>
        <w:spacing w:lineRule="auto" w:line="360" w:before="0" w:after="0"/>
        <w:jc w:val="center"/>
        <w:rPr>
          <w:rFonts w:ascii="Arial" w:hAnsi="Arial"/>
        </w:rPr>
      </w:pPr>
      <w:r>
        <w:rPr>
          <w:rFonts w:ascii="Arial" w:hAnsi="Arial"/>
          <w:b/>
          <w:bCs/>
          <w:sz w:val="21"/>
          <w:szCs w:val="21"/>
        </w:rPr>
        <w:t>IV – DOS DOCUMENTOS A SEREM APRESENTADOS PELA FUTURA CONTRATADA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both"/>
        <w:rPr>
          <w:rFonts w:ascii="Arial" w:hAnsi="Arial"/>
        </w:rPr>
      </w:pPr>
      <w:r>
        <w:rPr>
          <w:rFonts w:ascii="Arial" w:hAnsi="Arial"/>
          <w:sz w:val="21"/>
          <w:szCs w:val="21"/>
        </w:rPr>
        <w:t xml:space="preserve">4.1. </w:t>
      </w:r>
      <w:r>
        <w:rPr>
          <w:rFonts w:ascii="Arial" w:hAnsi="Arial"/>
          <w:sz w:val="21"/>
          <w:szCs w:val="21"/>
          <w:lang w:val="pt-BR"/>
        </w:rPr>
        <w:t>Após decisão da autoridade competente, a futura contratada deverá apresentar ao Município os seguintes documentos:</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Certidão Conjunta Negativa (ou Positiva com Efeitos de Negativa) de Débitos Relativos a Tributos Federais e à Dívida Ativa da União e de contribuições sociais;</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Certidão Negativa (ou Positiva com Efeitos de Negativa) de Débitos Estaduais relativos ao Estado sede do proponente;</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Certidão Negativa (ou Positiva com Efeitos de Negativa) de Débitos Municipais, relativa ao Município da sede do proponente;</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color w:val="000000"/>
          <w:sz w:val="21"/>
          <w:szCs w:val="21"/>
          <w:lang w:val="pt-BR" w:eastAsia="ar-SA"/>
        </w:rPr>
        <w:t>Prova de regularidade relativa ao Fundo de Garantia por Tempo de Serviço (CRF do FGTS), demonstrando situação regular no cumprimento dos encargos sociais, instituídos por Lei;</w:t>
      </w:r>
    </w:p>
    <w:p>
      <w:pPr>
        <w:pStyle w:val="Normal"/>
        <w:numPr>
          <w:ilvl w:val="0"/>
          <w:numId w:val="3"/>
        </w:numPr>
        <w:suppressAutoHyphens w:val="false"/>
        <w:spacing w:lineRule="auto" w:line="360" w:before="0" w:after="120"/>
        <w:ind w:left="967" w:right="-2" w:hanging="283"/>
        <w:jc w:val="both"/>
        <w:rPr>
          <w:rFonts w:ascii="Arial" w:hAnsi="Arial"/>
        </w:rPr>
      </w:pPr>
      <w:r>
        <w:rPr>
          <w:rFonts w:eastAsia="Calibri" w:cs="Arial" w:ascii="Arial" w:hAnsi="Arial"/>
          <w:kern w:val="0"/>
          <w:sz w:val="21"/>
          <w:szCs w:val="21"/>
          <w:lang w:val="pt-BR" w:eastAsia="pt-BR"/>
        </w:rPr>
        <w:t>Prova de inexistência de débitos inadimplentes perante a Justiça do Trabalho, mediante a apresentação de Certidão Negativa de Débitos Trabalhistas (CNDT), instituída pela Lei nº 12.440 de 07 de julho de 2011;</w:t>
      </w:r>
    </w:p>
    <w:p>
      <w:pPr>
        <w:pStyle w:val="Normal"/>
        <w:numPr>
          <w:ilvl w:val="0"/>
          <w:numId w:val="3"/>
        </w:numPr>
        <w:suppressAutoHyphens w:val="false"/>
        <w:spacing w:lineRule="auto" w:line="360" w:before="0" w:after="120"/>
        <w:ind w:left="967" w:right="-2" w:hanging="283"/>
        <w:jc w:val="both"/>
        <w:rPr>
          <w:rFonts w:ascii="Arial" w:hAnsi="Arial"/>
        </w:rPr>
      </w:pPr>
      <w:r>
        <w:rPr>
          <w:rFonts w:eastAsia="Times New Roman" w:cs="Arial" w:ascii="Arial" w:hAnsi="Arial"/>
          <w:color w:val="000000"/>
          <w:kern w:val="0"/>
          <w:sz w:val="21"/>
          <w:szCs w:val="21"/>
          <w:lang w:val="pt-BR" w:eastAsia="pt-BR"/>
        </w:rPr>
        <w:t>Declaração de Atendimento à Legislação Trabalhista de Proteção à Criança e ao Adolescent</w:t>
      </w:r>
      <w:r>
        <w:rPr>
          <w:rFonts w:eastAsia="Times New Roman" w:cs="Arial" w:ascii="Arial" w:hAnsi="Arial"/>
          <w:b w:val="false"/>
          <w:bCs w:val="false"/>
          <w:color w:val="000000"/>
          <w:kern w:val="0"/>
          <w:sz w:val="21"/>
          <w:szCs w:val="21"/>
          <w:lang w:val="pt-BR" w:eastAsia="pt-BR"/>
        </w:rPr>
        <w:t>e, disposto no inciso XXXIII do art. 7º da Constituição Federal.</w:t>
      </w:r>
    </w:p>
    <w:p>
      <w:pPr>
        <w:pStyle w:val="Normal"/>
        <w:numPr>
          <w:ilvl w:val="0"/>
          <w:numId w:val="3"/>
        </w:numPr>
        <w:suppressAutoHyphens w:val="false"/>
        <w:spacing w:lineRule="auto" w:line="360" w:before="0" w:after="120"/>
        <w:ind w:left="967" w:right="-2" w:hanging="283"/>
        <w:jc w:val="both"/>
        <w:rPr>
          <w:rFonts w:ascii="Arial" w:hAnsi="Arial"/>
        </w:rPr>
      </w:pPr>
      <w:r>
        <w:rPr>
          <w:rFonts w:cs="Arial" w:ascii="Arial" w:hAnsi="Arial"/>
          <w:b w:val="false"/>
          <w:bCs w:val="false"/>
          <w:color w:val="000000"/>
          <w:sz w:val="21"/>
          <w:szCs w:val="21"/>
          <w:lang w:val="pt-BR" w:eastAsia="ar-SA"/>
        </w:rPr>
        <w:t>Declaração de idoneidade.</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de que cumpre as exigências de reserva de cargos para pessoa com deficiência e para reabilitado da Previdência Social, previstas em lei e em outras normas específicas.</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que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color w:val="000000"/>
          <w:kern w:val="2"/>
          <w:sz w:val="21"/>
          <w:szCs w:val="21"/>
          <w:lang w:val="pt-BR" w:eastAsia="zh-CN"/>
        </w:rPr>
        <w:t>Declaração 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ausência de condenação judicial por exploração de trabalho infantil, por submissão de trabalhadores a condições análogas às de escravo ou por contratação de adolescentes nos casos vedados pela legislação trabalhista.</w:t>
      </w:r>
    </w:p>
    <w:p>
      <w:pPr>
        <w:pStyle w:val="Normal"/>
        <w:numPr>
          <w:ilvl w:val="0"/>
          <w:numId w:val="3"/>
        </w:numPr>
        <w:suppressAutoHyphens w:val="false"/>
        <w:spacing w:lineRule="auto" w:line="360" w:before="0" w:after="120"/>
        <w:ind w:left="967" w:right="-2" w:hanging="283"/>
        <w:jc w:val="both"/>
        <w:rPr>
          <w:rFonts w:ascii="Arial" w:hAnsi="Arial"/>
          <w:sz w:val="21"/>
          <w:szCs w:val="21"/>
        </w:rPr>
      </w:pPr>
      <w:r>
        <w:rPr>
          <w:rFonts w:eastAsia="Times New Roman" w:cs="Arial" w:ascii="Arial" w:hAnsi="Arial"/>
          <w:b w:val="false"/>
          <w:bCs w:val="false"/>
          <w:kern w:val="0"/>
          <w:sz w:val="21"/>
          <w:szCs w:val="21"/>
          <w:lang w:val="pt-BR" w:eastAsia="ar-SA"/>
        </w:rPr>
        <w:t>Declaração de enquadramento de Receita Bruta (para empresas de pequeno porte, de que não contrataram com a Administração Pública até o limite estabelecido em Lei).</w:t>
      </w:r>
    </w:p>
    <w:p>
      <w:pPr>
        <w:pStyle w:val="Normal"/>
        <w:suppressAutoHyphens w:val="false"/>
        <w:spacing w:lineRule="auto" w:line="360" w:before="0" w:after="120"/>
        <w:ind w:left="967" w:right="-2" w:hanging="0"/>
        <w:jc w:val="both"/>
        <w:rPr>
          <w:rFonts w:ascii="Arial" w:hAnsi="Arial"/>
          <w:sz w:val="21"/>
          <w:szCs w:val="21"/>
        </w:rPr>
      </w:pPr>
      <w:r>
        <w:rPr>
          <w:rFonts w:ascii="Arial" w:hAnsi="Arial"/>
          <w:sz w:val="21"/>
          <w:szCs w:val="21"/>
        </w:rPr>
        <w:t>As declarações contidas nos itens “</w:t>
      </w:r>
      <w:r>
        <w:rPr>
          <w:rFonts w:ascii="Arial" w:hAnsi="Arial"/>
          <w:sz w:val="21"/>
          <w:szCs w:val="21"/>
        </w:rPr>
        <w:t>f</w:t>
      </w:r>
      <w:r>
        <w:rPr>
          <w:rFonts w:ascii="Arial" w:hAnsi="Arial"/>
          <w:sz w:val="21"/>
          <w:szCs w:val="21"/>
        </w:rPr>
        <w:t>”, “</w:t>
      </w:r>
      <w:r>
        <w:rPr>
          <w:rFonts w:ascii="Arial" w:hAnsi="Arial"/>
          <w:sz w:val="21"/>
          <w:szCs w:val="21"/>
        </w:rPr>
        <w:t>g</w:t>
      </w:r>
      <w:r>
        <w:rPr>
          <w:rFonts w:ascii="Arial" w:hAnsi="Arial"/>
          <w:sz w:val="21"/>
          <w:szCs w:val="21"/>
        </w:rPr>
        <w:t>”, “</w:t>
      </w:r>
      <w:r>
        <w:rPr>
          <w:rFonts w:ascii="Arial" w:hAnsi="Arial"/>
          <w:sz w:val="21"/>
          <w:szCs w:val="21"/>
        </w:rPr>
        <w:t>h</w:t>
      </w:r>
      <w:r>
        <w:rPr>
          <w:rFonts w:ascii="Arial" w:hAnsi="Arial"/>
          <w:sz w:val="21"/>
          <w:szCs w:val="21"/>
        </w:rPr>
        <w:t xml:space="preserve">”,” </w:t>
      </w:r>
      <w:r>
        <w:rPr>
          <w:rFonts w:ascii="Arial" w:hAnsi="Arial"/>
          <w:sz w:val="21"/>
          <w:szCs w:val="21"/>
        </w:rPr>
        <w:t>i</w:t>
      </w:r>
      <w:r>
        <w:rPr>
          <w:rFonts w:ascii="Arial" w:hAnsi="Arial"/>
          <w:sz w:val="21"/>
          <w:szCs w:val="21"/>
        </w:rPr>
        <w:t>”, “</w:t>
      </w:r>
      <w:r>
        <w:rPr>
          <w:rFonts w:ascii="Arial" w:hAnsi="Arial"/>
          <w:sz w:val="21"/>
          <w:szCs w:val="21"/>
        </w:rPr>
        <w:t>j</w:t>
      </w:r>
      <w:r>
        <w:rPr>
          <w:rFonts w:ascii="Arial" w:hAnsi="Arial"/>
          <w:sz w:val="21"/>
          <w:szCs w:val="21"/>
        </w:rPr>
        <w:t>”, “</w:t>
      </w:r>
      <w:r>
        <w:rPr>
          <w:rFonts w:ascii="Arial" w:hAnsi="Arial"/>
          <w:sz w:val="21"/>
          <w:szCs w:val="21"/>
        </w:rPr>
        <w:t>k</w:t>
      </w:r>
      <w:r>
        <w:rPr>
          <w:rFonts w:ascii="Arial" w:hAnsi="Arial"/>
          <w:sz w:val="21"/>
          <w:szCs w:val="21"/>
        </w:rPr>
        <w:t>”, “</w:t>
      </w:r>
      <w:r>
        <w:rPr>
          <w:rFonts w:ascii="Arial" w:hAnsi="Arial"/>
          <w:sz w:val="21"/>
          <w:szCs w:val="21"/>
        </w:rPr>
        <w:t>l</w:t>
      </w:r>
      <w:r>
        <w:rPr>
          <w:rFonts w:ascii="Arial" w:hAnsi="Arial"/>
          <w:sz w:val="21"/>
          <w:szCs w:val="21"/>
        </w:rPr>
        <w:t>” e “</w:t>
      </w:r>
      <w:r>
        <w:rPr>
          <w:rFonts w:ascii="Arial" w:hAnsi="Arial"/>
          <w:sz w:val="21"/>
          <w:szCs w:val="21"/>
        </w:rPr>
        <w:t>m</w:t>
      </w:r>
      <w:r>
        <w:rPr>
          <w:rFonts w:ascii="Arial" w:hAnsi="Arial"/>
          <w:sz w:val="21"/>
          <w:szCs w:val="21"/>
        </w:rPr>
        <w:t>”, podem ser substituídas por Declaração Unificada (Anexo I) deste Aviso de Dispensa.</w:t>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ANEXOS:</w:t>
      </w:r>
    </w:p>
    <w:p>
      <w:pPr>
        <w:pStyle w:val="Normal"/>
        <w:suppressAutoHyphens w:val="false"/>
        <w:spacing w:lineRule="auto" w:line="360" w:before="0" w:after="120"/>
        <w:ind w:left="57" w:hanging="0"/>
        <w:rPr>
          <w:rFonts w:ascii="Arial" w:hAnsi="Arial"/>
          <w:sz w:val="21"/>
          <w:szCs w:val="21"/>
        </w:rPr>
      </w:pPr>
      <w:r>
        <w:rPr>
          <w:rFonts w:eastAsia="Times New Roman" w:cs="Arial" w:ascii="Arial" w:hAnsi="Arial"/>
          <w:sz w:val="21"/>
          <w:szCs w:val="21"/>
          <w:lang w:eastAsia="ar-SA"/>
        </w:rPr>
        <w:t>Anexo I – Declaração unificada</w:t>
      </w:r>
    </w:p>
    <w:p>
      <w:pPr>
        <w:pStyle w:val="Normal"/>
        <w:spacing w:lineRule="auto" w:line="360" w:before="0" w:after="0"/>
        <w:jc w:val="center"/>
        <w:rPr>
          <w:rFonts w:ascii="Arial" w:hAnsi="Arial"/>
          <w:sz w:val="21"/>
          <w:szCs w:val="21"/>
        </w:rPr>
      </w:pPr>
      <w:r>
        <w:rPr>
          <w:rFonts w:ascii="Arial" w:hAnsi="Arial"/>
          <w:sz w:val="21"/>
          <w:szCs w:val="21"/>
        </w:rPr>
      </w:r>
    </w:p>
    <w:p>
      <w:pPr>
        <w:pStyle w:val="Normal"/>
        <w:spacing w:lineRule="auto" w:line="360" w:before="0" w:after="0"/>
        <w:jc w:val="center"/>
        <w:rPr>
          <w:rFonts w:ascii="Arial" w:hAnsi="Arial"/>
        </w:rPr>
      </w:pPr>
      <w:r>
        <w:rPr>
          <w:rFonts w:cs="Arial" w:ascii="Arial" w:hAnsi="Arial"/>
          <w:b/>
          <w:sz w:val="21"/>
          <w:szCs w:val="21"/>
        </w:rPr>
        <w:t>Munic</w:t>
      </w:r>
      <w:r>
        <w:rPr>
          <w:rFonts w:cs="Arial" w:ascii="Arial" w:hAnsi="Arial"/>
          <w:b/>
          <w:color w:val="000000"/>
          <w:sz w:val="21"/>
          <w:szCs w:val="21"/>
        </w:rPr>
        <w:t xml:space="preserve">ípio de Lindoia do Sul, </w:t>
      </w:r>
      <w:r>
        <w:rPr>
          <w:rFonts w:cs="Arial" w:ascii="Arial" w:hAnsi="Arial"/>
          <w:b/>
          <w:color w:val="000000"/>
          <w:sz w:val="21"/>
          <w:szCs w:val="21"/>
        </w:rPr>
        <w:t>29</w:t>
      </w:r>
      <w:r>
        <w:rPr>
          <w:rFonts w:cs="Arial" w:ascii="Arial" w:hAnsi="Arial"/>
          <w:b/>
          <w:color w:val="000000"/>
          <w:sz w:val="21"/>
          <w:szCs w:val="21"/>
        </w:rPr>
        <w:t xml:space="preserve"> de novembro de 2024.</w:t>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spacing w:lineRule="auto" w:line="360" w:before="0" w:after="0"/>
        <w:jc w:val="center"/>
        <w:rPr>
          <w:rFonts w:ascii="Arial" w:hAnsi="Arial" w:cs="Arial"/>
          <w:b/>
          <w:b/>
          <w:sz w:val="21"/>
          <w:szCs w:val="21"/>
        </w:rPr>
      </w:pPr>
      <w:r>
        <w:rPr>
          <w:rFonts w:cs="Arial" w:ascii="Arial" w:hAnsi="Arial"/>
          <w:b/>
          <w:sz w:val="21"/>
          <w:szCs w:val="21"/>
        </w:rPr>
      </w:r>
    </w:p>
    <w:p>
      <w:pPr>
        <w:pStyle w:val="Normal"/>
        <w:widowControl w:val="false"/>
        <w:tabs>
          <w:tab w:val="clear" w:pos="708"/>
          <w:tab w:val="left" w:pos="1701" w:leader="none"/>
        </w:tabs>
        <w:spacing w:lineRule="auto" w:line="360" w:before="0" w:after="0"/>
        <w:jc w:val="center"/>
        <w:textAlignment w:val="baseline"/>
        <w:rPr>
          <w:rFonts w:ascii="Arial" w:hAnsi="Arial"/>
        </w:rPr>
      </w:pPr>
      <w:r>
        <w:rPr>
          <w:rFonts w:eastAsia="Times New Roman" w:cs="Arial" w:ascii="Arial" w:hAnsi="Arial"/>
          <w:b/>
          <w:color w:val="000000"/>
          <w:sz w:val="21"/>
          <w:szCs w:val="21"/>
          <w:lang w:eastAsia="pt-BR"/>
        </w:rPr>
        <w:t>PEDRO ARI PARIZOTTO</w:t>
      </w:r>
    </w:p>
    <w:p>
      <w:pPr>
        <w:pStyle w:val="Normal"/>
        <w:widowControl w:val="false"/>
        <w:tabs>
          <w:tab w:val="clear" w:pos="708"/>
          <w:tab w:val="left" w:pos="1701" w:leader="none"/>
        </w:tabs>
        <w:spacing w:lineRule="auto" w:line="360" w:before="0" w:after="0"/>
        <w:jc w:val="center"/>
        <w:textAlignment w:val="baseline"/>
        <w:rPr>
          <w:rFonts w:ascii="Arial" w:hAnsi="Arial"/>
        </w:rPr>
      </w:pPr>
      <w:r>
        <w:rPr>
          <w:rFonts w:eastAsia="Times New Roman" w:cs="Arial" w:ascii="Arial" w:hAnsi="Arial"/>
          <w:b/>
          <w:color w:val="000000"/>
          <w:sz w:val="21"/>
          <w:szCs w:val="21"/>
          <w:lang w:eastAsia="pt-BR"/>
        </w:rPr>
        <w:t>Prefeito Municipal em exerício</w:t>
      </w:r>
    </w:p>
    <w:p>
      <w:pPr>
        <w:pStyle w:val="Normal"/>
        <w:spacing w:lineRule="auto" w:line="360" w:before="0" w:after="0"/>
        <w:jc w:val="center"/>
        <w:rPr>
          <w:rFonts w:ascii="Arial" w:hAnsi="Arial"/>
        </w:rPr>
      </w:pPr>
      <w:r>
        <w:rPr>
          <w:rFonts w:cs="Arial" w:ascii="Arial" w:hAnsi="Arial"/>
          <w:b/>
          <w:bCs/>
          <w:sz w:val="21"/>
          <w:szCs w:val="21"/>
        </w:rPr>
        <w:t>ANEXO I</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rPr>
      </w:pPr>
      <w:r>
        <w:rPr>
          <w:rFonts w:cs="Arial" w:ascii="Arial" w:hAnsi="Arial"/>
          <w:b/>
          <w:bCs/>
          <w:sz w:val="21"/>
          <w:szCs w:val="21"/>
        </w:rPr>
        <w:t>PROCESSO LICITATÓRIO Nº 13</w:t>
      </w:r>
      <w:r>
        <w:rPr>
          <w:rFonts w:cs="Arial" w:ascii="Arial" w:hAnsi="Arial"/>
          <w:b/>
          <w:bCs/>
          <w:sz w:val="21"/>
          <w:szCs w:val="21"/>
        </w:rPr>
        <w:t>7</w:t>
      </w:r>
      <w:r>
        <w:rPr>
          <w:rFonts w:cs="Arial" w:ascii="Arial" w:hAnsi="Arial"/>
          <w:b/>
          <w:bCs/>
          <w:sz w:val="21"/>
          <w:szCs w:val="21"/>
        </w:rPr>
        <w:t>/2024</w:t>
      </w:r>
    </w:p>
    <w:p>
      <w:pPr>
        <w:pStyle w:val="Normal"/>
        <w:spacing w:lineRule="auto" w:line="360" w:before="0" w:after="0"/>
        <w:jc w:val="both"/>
        <w:rPr>
          <w:rFonts w:ascii="Arial" w:hAnsi="Arial"/>
        </w:rPr>
      </w:pPr>
      <w:r>
        <w:rPr>
          <w:rFonts w:cs="Arial" w:ascii="Arial" w:hAnsi="Arial"/>
          <w:b/>
          <w:bCs/>
          <w:sz w:val="21"/>
          <w:szCs w:val="21"/>
        </w:rPr>
        <w:t>DISPENSA DE LICITAÇÃO Nº 8</w:t>
      </w:r>
      <w:r>
        <w:rPr>
          <w:rFonts w:cs="Arial" w:ascii="Arial" w:hAnsi="Arial"/>
          <w:b/>
          <w:bCs/>
          <w:sz w:val="21"/>
          <w:szCs w:val="21"/>
        </w:rPr>
        <w:t>8</w:t>
      </w:r>
      <w:r>
        <w:rPr>
          <w:rFonts w:cs="Arial" w:ascii="Arial" w:hAnsi="Arial"/>
          <w:b/>
          <w:bCs/>
          <w:sz w:val="21"/>
          <w:szCs w:val="21"/>
        </w:rPr>
        <w:t>/2024</w:t>
      </w:r>
    </w:p>
    <w:p>
      <w:pPr>
        <w:pStyle w:val="Normal"/>
        <w:widowControl w:val="false"/>
        <w:tabs>
          <w:tab w:val="clear" w:pos="708"/>
          <w:tab w:val="left" w:pos="1701" w:leader="none"/>
        </w:tabs>
        <w:spacing w:lineRule="auto" w:line="360" w:before="0" w:after="0"/>
        <w:textAlignment w:val="baseline"/>
        <w:rPr>
          <w:rFonts w:ascii="Arial" w:hAnsi="Arial"/>
        </w:rPr>
      </w:pPr>
      <w:r>
        <w:rPr>
          <w:rFonts w:ascii="Arial" w:hAnsi="Arial"/>
        </w:rPr>
      </w:r>
    </w:p>
    <w:p>
      <w:pPr>
        <w:pStyle w:val="Normal"/>
        <w:spacing w:lineRule="auto" w:line="360"/>
        <w:jc w:val="center"/>
        <w:rPr>
          <w:rFonts w:ascii="Arial" w:hAnsi="Arial"/>
        </w:rPr>
      </w:pPr>
      <w:r>
        <w:rPr>
          <w:rFonts w:eastAsia="Times New Roman" w:cs="Arial" w:ascii="Arial" w:hAnsi="Arial"/>
          <w:b/>
          <w:bCs/>
          <w:color w:val="000000"/>
          <w:kern w:val="2"/>
          <w:sz w:val="24"/>
          <w:szCs w:val="24"/>
          <w:lang w:eastAsia="zh-CN"/>
        </w:rPr>
        <w:t>DECLARAÇÃO UNIFICADA</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rPr>
      </w:pPr>
      <w:r>
        <w:rPr>
          <w:rFonts w:eastAsia="Times New Roman" w:cs="Arial" w:ascii="Arial" w:hAnsi="Arial"/>
          <w:bCs/>
          <w:color w:val="000000"/>
          <w:kern w:val="2"/>
          <w:sz w:val="24"/>
          <w:szCs w:val="24"/>
          <w:lang w:eastAsia="zh-CN"/>
        </w:rPr>
        <w:t>A emp</w:t>
      </w:r>
      <w:r>
        <w:rPr>
          <w:rFonts w:eastAsia="Times New Roman" w:cs="Arial" w:ascii="Arial" w:hAnsi="Arial"/>
          <w:b w:val="false"/>
          <w:bCs w:val="false"/>
          <w:color w:val="000000"/>
          <w:kern w:val="2"/>
          <w:sz w:val="24"/>
          <w:szCs w:val="24"/>
          <w:lang w:eastAsia="zh-CN"/>
        </w:rPr>
        <w:t xml:space="preserve">resa ______________________________________, inscrita no CNPJ sob o nº ________________________, estabelecida na Rua _______________ nº ___, Bairro ____________, Município </w:t>
      </w:r>
      <w:r>
        <w:rPr>
          <w:rFonts w:eastAsia="Times New Roman" w:cs="Arial" w:ascii="Arial" w:hAnsi="Arial"/>
          <w:bCs/>
          <w:color w:val="000000"/>
          <w:kern w:val="2"/>
          <w:sz w:val="24"/>
          <w:szCs w:val="24"/>
          <w:lang w:eastAsia="zh-CN"/>
        </w:rPr>
        <w:t xml:space="preserve">de ______________-SC por intermédio de seu representante legal Sr.(a) _________________________, portador(a) da Carteira de Identidade nº _______________ e do CPF nº ________________, </w:t>
      </w:r>
      <w:r>
        <w:rPr>
          <w:rFonts w:eastAsia="Times New Roman" w:cs="Arial" w:ascii="Arial" w:hAnsi="Arial"/>
          <w:b/>
          <w:bCs/>
          <w:color w:val="000000"/>
          <w:kern w:val="2"/>
          <w:sz w:val="24"/>
          <w:szCs w:val="24"/>
          <w:lang w:eastAsia="zh-CN"/>
        </w:rPr>
        <w:t>DECLARA:</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val="false"/>
        <w:spacing w:lineRule="auto" w:line="360"/>
        <w:ind w:left="567" w:hanging="0"/>
        <w:jc w:val="both"/>
        <w:rPr>
          <w:rFonts w:ascii="Arial" w:hAnsi="Arial"/>
        </w:rPr>
      </w:pPr>
      <w:r>
        <w:rPr>
          <w:rFonts w:eastAsia="Times New Roman" w:cs="Arial" w:ascii="Arial" w:hAnsi="Arial"/>
          <w:color w:val="000000"/>
          <w:kern w:val="2"/>
          <w:lang w:eastAsia="zh-CN"/>
        </w:rPr>
        <w:t>Ressalva: emprega menor, a partir de quatorze anos, na condição de aprendiz (   ).</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val="false"/>
        <w:spacing w:lineRule="auto" w:line="360"/>
        <w:ind w:left="567" w:hanging="0"/>
        <w:jc w:val="both"/>
        <w:rPr>
          <w:rFonts w:ascii="Arial" w:hAnsi="Arial"/>
        </w:rPr>
      </w:pPr>
      <w:r>
        <w:rPr>
          <w:rFonts w:eastAsia="Times New Roman" w:cs="Arial" w:ascii="Arial" w:hAnsi="Arial"/>
          <w:bCs/>
          <w:color w:val="000000"/>
          <w:kern w:val="2"/>
          <w:sz w:val="24"/>
          <w:szCs w:val="24"/>
          <w:lang w:eastAsia="zh-CN"/>
        </w:rPr>
        <w:t>Portanto, inclusive, a empresa declara que também está em conformidade com o que prevê o art. 54 I “a” da Constituição Federal e art. 43 I ”a” e II “a” da Constituição do Estado de Santa Catarina.</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Que não foi declarada INIDÔNEA para licitar ou contratar com a Administração Pública, bem como que comunicarei qualquer fato ou evento superveniente à entrega dos documentos de habilitação que venha alterar a atual situação quanto à capacidade jurídica, técnica, regularidade fiscal e idoneidade econômico-financeira.</w:t>
      </w:r>
    </w:p>
    <w:p>
      <w:pPr>
        <w:pStyle w:val="Normal"/>
        <w:widowControl w:val="false"/>
        <w:numPr>
          <w:ilvl w:val="0"/>
          <w:numId w:val="2"/>
        </w:numPr>
        <w:spacing w:lineRule="auto" w:line="360"/>
        <w:ind w:left="567" w:hanging="0"/>
        <w:jc w:val="both"/>
        <w:rPr>
          <w:rFonts w:ascii="Arial" w:hAnsi="Arial"/>
        </w:rPr>
      </w:pPr>
      <w:r>
        <w:rPr>
          <w:rFonts w:eastAsia="Times New Roman" w:cs="Arial" w:ascii="Arial" w:hAnsi="Arial"/>
          <w:bCs/>
          <w:color w:val="000000"/>
          <w:kern w:val="2"/>
          <w:sz w:val="24"/>
          <w:szCs w:val="24"/>
          <w:lang w:eastAsia="zh-CN"/>
        </w:rPr>
        <w:t>Ausência de condenação judicial por exploração de trabalho infantil, por submissão de trabalhadores a condições análogas às de escravo ou por contratação de adolescentes nos casos vedados pela legislação trabalhista.</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Que cumpre as exigências de reserva de cargos para pessoa com deficiência e para reabilitado da Previdência Social, previstas em lei e em outras normas específicas.</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widowControl w:val="false"/>
        <w:numPr>
          <w:ilvl w:val="0"/>
          <w:numId w:val="2"/>
        </w:numPr>
        <w:spacing w:lineRule="auto" w:line="360"/>
        <w:ind w:left="567" w:hanging="0"/>
        <w:jc w:val="both"/>
        <w:rPr>
          <w:rFonts w:ascii="Arial" w:hAnsi="Arial"/>
        </w:rPr>
      </w:pPr>
      <w:r>
        <w:rPr>
          <w:rFonts w:cs="Arial" w:ascii="Arial" w:hAnsi="Arial"/>
          <w:sz w:val="24"/>
          <w:szCs w:val="24"/>
        </w:rPr>
        <w:t xml:space="preserve">Que o enquadramento da Receita Bruta do exercício financeiro para empresas de pequeno porte, não atingiu o limite, considerando contratos com a Administração Pública </w:t>
      </w:r>
      <w:r>
        <w:rPr>
          <w:rFonts w:cs="Arial" w:ascii="Arial" w:hAnsi="Arial"/>
          <w:color w:val="000000"/>
          <w:sz w:val="24"/>
          <w:szCs w:val="24"/>
          <w:shd w:fill="FF0000" w:val="clear"/>
        </w:rPr>
        <w:t>(se for o caso)</w:t>
      </w:r>
      <w:r>
        <w:rPr>
          <w:rFonts w:cs="Arial" w:ascii="Arial" w:hAnsi="Arial"/>
          <w:sz w:val="24"/>
          <w:szCs w:val="24"/>
        </w:rPr>
        <w:t>.</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rPr>
      </w:pPr>
      <w:r>
        <w:rPr>
          <w:rFonts w:eastAsia="Times New Roman" w:cs="Arial" w:ascii="Arial" w:hAnsi="Arial"/>
          <w:bCs/>
          <w:color w:val="000000"/>
          <w:kern w:val="2"/>
          <w:sz w:val="24"/>
          <w:szCs w:val="24"/>
          <w:lang w:eastAsia="zh-CN"/>
        </w:rPr>
        <w:t>Local, ______ de ____________________ de 2024.</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rPr>
      </w:pPr>
      <w:r>
        <w:rPr>
          <w:rFonts w:eastAsia="Times New Roman" w:cs="Arial" w:ascii="Arial" w:hAnsi="Arial"/>
          <w:bCs/>
          <w:color w:val="000000"/>
          <w:kern w:val="2"/>
          <w:sz w:val="24"/>
          <w:szCs w:val="24"/>
          <w:lang w:eastAsia="zh-CN"/>
        </w:rPr>
        <w:t>(nome e assinatura do responsável legal)</w:t>
      </w:r>
    </w:p>
    <w:p>
      <w:pPr>
        <w:pStyle w:val="Normal"/>
        <w:spacing w:lineRule="auto" w:line="360"/>
        <w:jc w:val="both"/>
        <w:rPr>
          <w:rFonts w:ascii="Arial" w:hAnsi="Arial"/>
        </w:rPr>
      </w:pPr>
      <w:r>
        <w:rPr>
          <w:rFonts w:eastAsia="Times New Roman" w:cs="Arial" w:ascii="Arial" w:hAnsi="Arial"/>
          <w:color w:val="000000"/>
          <w:kern w:val="2"/>
          <w:sz w:val="24"/>
          <w:szCs w:val="24"/>
          <w:lang w:eastAsia="zh-CN"/>
        </w:rPr>
        <w:t>(número da carteira de identidade e órgão emissor)</w:t>
      </w:r>
    </w:p>
    <w:p>
      <w:pPr>
        <w:pStyle w:val="Normal"/>
        <w:spacing w:lineRule="auto" w:line="360" w:before="0" w:after="0"/>
        <w:jc w:val="center"/>
        <w:rPr>
          <w:rFonts w:eastAsia="Times New Roman" w:cs="Arial"/>
          <w:b/>
          <w:b/>
          <w:bCs/>
          <w:color w:val="000000"/>
          <w:sz w:val="21"/>
          <w:szCs w:val="21"/>
          <w:lang w:eastAsia="pt-BR"/>
        </w:rPr>
      </w:pPr>
      <w:r>
        <w:rPr/>
      </w:r>
    </w:p>
    <w:sectPr>
      <w:headerReference w:type="even" r:id="rId2"/>
      <w:headerReference w:type="default" r:id="rId3"/>
      <w:headerReference w:type="first" r:id="rId4"/>
      <w:footerReference w:type="default" r:id="rId5"/>
      <w:type w:val="nextPage"/>
      <w:pgSz w:w="11906" w:h="16838"/>
      <w:pgMar w:left="1701" w:right="1133" w:gutter="0" w:header="426" w:top="1987" w:footer="0" w:bottom="42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roman"/>
    <w:pitch w:val="variable"/>
  </w:font>
  <w:font w:name="Arial Unicode M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6840855" cy="99250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30" t="-140" r="-30" b="-140"/>
                  <a:stretch>
                    <a:fillRect/>
                  </a:stretch>
                </pic:blipFill>
                <pic:spPr bwMode="auto">
                  <a:xfrm>
                    <a:off x="0" y="0"/>
                    <a:ext cx="6840855" cy="9925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pStyle w:val="Ttulo4"/>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4">
    <w:name w:val="Heading 4"/>
    <w:basedOn w:val="Normal"/>
    <w:next w:val="Normal"/>
    <w:link w:val="Ttulo4Char"/>
    <w:qFormat/>
    <w:rsid w:val="008e72a6"/>
    <w:pPr>
      <w:keepNext w:val="true"/>
      <w:keepLines/>
      <w:numPr>
        <w:ilvl w:val="3"/>
        <w:numId w:val="1"/>
      </w:numPr>
      <w:tabs>
        <w:tab w:val="clear" w:pos="708"/>
        <w:tab w:val="left" w:pos="0" w:leader="none"/>
      </w:tabs>
      <w:spacing w:lineRule="auto" w:line="240" w:before="280" w:after="80"/>
      <w:outlineLvl w:val="3"/>
    </w:pPr>
    <w:rPr>
      <w:rFonts w:ascii="Arial" w:hAnsi="Arial" w:eastAsia="Arial" w:cs="Arial"/>
      <w:color w:val="666666"/>
      <w:kern w:val="2"/>
      <w:sz w:val="24"/>
      <w:szCs w:val="24"/>
      <w:lang w:eastAsia="zh-CN" w:bidi="hi-I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uiPriority w:val="99"/>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qFormat/>
    <w:rsid w:val="007a6e59"/>
    <w:rPr>
      <w:rFonts w:ascii="Times New Roman" w:hAnsi="Times New Roman" w:eastAsia="Times New Roman" w:cs="Times New Roman"/>
      <w:sz w:val="24"/>
      <w:szCs w:val="24"/>
    </w:rPr>
  </w:style>
  <w:style w:type="character" w:styleId="CorpodetextoChar" w:customStyle="1">
    <w:name w:val="Corpo de texto Char"/>
    <w:basedOn w:val="DefaultParagraphFont"/>
    <w:uiPriority w:val="99"/>
    <w:semiHidden/>
    <w:qFormat/>
    <w:rsid w:val="003e1700"/>
    <w:rPr/>
  </w:style>
  <w:style w:type="character" w:styleId="Recuodecorpodetexto2Char" w:customStyle="1">
    <w:name w:val="Recuo de corpo de texto 2 Char"/>
    <w:basedOn w:val="DefaultParagraphFont"/>
    <w:link w:val="BodyTextIndent2"/>
    <w:qFormat/>
    <w:rsid w:val="003e1700"/>
    <w:rPr>
      <w:rFonts w:ascii="Times New Roman" w:hAnsi="Times New Roman" w:eastAsia="Times New Roman" w:cs="Times New Roman"/>
      <w:sz w:val="24"/>
      <w:szCs w:val="24"/>
      <w:lang w:eastAsia="pt-BR"/>
    </w:rPr>
  </w:style>
  <w:style w:type="character" w:styleId="LinkdaInternet">
    <w:name w:val="Hyperlink"/>
    <w:basedOn w:val="DefaultParagraphFont"/>
    <w:uiPriority w:val="99"/>
    <w:unhideWhenUsed/>
    <w:rsid w:val="006b6386"/>
    <w:rPr>
      <w:color w:val="0563C1" w:themeColor="hyperlink"/>
      <w:u w:val="single"/>
    </w:rPr>
  </w:style>
  <w:style w:type="character" w:styleId="UnresolvedMention">
    <w:name w:val="Unresolved Mention"/>
    <w:basedOn w:val="DefaultParagraphFont"/>
    <w:uiPriority w:val="99"/>
    <w:semiHidden/>
    <w:unhideWhenUsed/>
    <w:qFormat/>
    <w:rsid w:val="006b6386"/>
    <w:rPr>
      <w:color w:val="605E5C"/>
      <w:shd w:fill="E1DFDD" w:val="clear"/>
    </w:rPr>
  </w:style>
  <w:style w:type="character" w:styleId="SubtleEmphasis">
    <w:name w:val="Subtle Emphasis"/>
    <w:basedOn w:val="DefaultParagraphFont"/>
    <w:uiPriority w:val="19"/>
    <w:qFormat/>
    <w:rsid w:val="00e67296"/>
    <w:rPr>
      <w:i/>
      <w:iCs/>
      <w:color w:val="404040" w:themeColor="text1" w:themeTint="bf"/>
    </w:rPr>
  </w:style>
  <w:style w:type="character" w:styleId="Annotationreference">
    <w:name w:val="annotation reference"/>
    <w:basedOn w:val="DefaultParagraphFont"/>
    <w:uiPriority w:val="99"/>
    <w:semiHidden/>
    <w:unhideWhenUsed/>
    <w:qFormat/>
    <w:rsid w:val="00000a60"/>
    <w:rPr>
      <w:sz w:val="16"/>
      <w:szCs w:val="16"/>
    </w:rPr>
  </w:style>
  <w:style w:type="character" w:styleId="TextodecomentrioChar" w:customStyle="1">
    <w:name w:val="Texto de comentário Char"/>
    <w:basedOn w:val="DefaultParagraphFont"/>
    <w:link w:val="Annotationtext"/>
    <w:uiPriority w:val="99"/>
    <w:qFormat/>
    <w:rsid w:val="00000a60"/>
    <w:rPr>
      <w:sz w:val="20"/>
      <w:szCs w:val="20"/>
    </w:rPr>
  </w:style>
  <w:style w:type="character" w:styleId="AssuntodocomentrioChar" w:customStyle="1">
    <w:name w:val="Assunto do comentário Char"/>
    <w:basedOn w:val="TextodecomentrioChar"/>
    <w:link w:val="Annotationsubject"/>
    <w:uiPriority w:val="99"/>
    <w:semiHidden/>
    <w:qFormat/>
    <w:rsid w:val="00000a60"/>
    <w:rPr>
      <w:b/>
      <w:bCs/>
      <w:sz w:val="20"/>
      <w:szCs w:val="20"/>
    </w:rPr>
  </w:style>
  <w:style w:type="character" w:styleId="WW8Num12z0" w:customStyle="1">
    <w:name w:val="WW8Num12z0"/>
    <w:qFormat/>
    <w:rPr>
      <w:b w:val="false"/>
    </w:rPr>
  </w:style>
  <w:style w:type="character" w:styleId="WW8Num3z0" w:customStyle="1">
    <w:name w:val="WW8Num3z0"/>
    <w:qFormat/>
    <w:rPr>
      <w:b w:val="false"/>
    </w:rPr>
  </w:style>
  <w:style w:type="character" w:styleId="WW8Num10z0" w:customStyle="1">
    <w:name w:val="WW8Num10z0"/>
    <w:qFormat/>
    <w:rPr>
      <w:b w:val="false"/>
    </w:rPr>
  </w:style>
  <w:style w:type="character" w:styleId="Linkdainternetvisitado">
    <w:name w:val="FollowedHyperlink"/>
    <w:rPr>
      <w:color w:val="954F72"/>
      <w:u w:val="single"/>
    </w:rPr>
  </w:style>
  <w:style w:type="character" w:styleId="WW8Num5z0" w:customStyle="1">
    <w:name w:val="WW8Num5z0"/>
    <w:qFormat/>
    <w:rPr/>
  </w:style>
  <w:style w:type="character" w:styleId="WW8Num2z0" w:customStyle="1">
    <w:name w:val="WW8Num2z0"/>
    <w:qFormat/>
    <w:rPr>
      <w:rFonts w:ascii="Wingdings" w:hAnsi="Wingdings" w:cs="OpenSymbol;Arial Unicode MS"/>
    </w:rPr>
  </w:style>
  <w:style w:type="character" w:styleId="Ttulo4Char" w:customStyle="1">
    <w:name w:val="Título 4 Char"/>
    <w:basedOn w:val="DefaultParagraphFont"/>
    <w:qFormat/>
    <w:rsid w:val="008e72a6"/>
    <w:rPr>
      <w:rFonts w:ascii="Arial" w:hAnsi="Arial" w:eastAsia="Arial" w:cs="Arial"/>
      <w:color w:val="666666"/>
      <w:kern w:val="2"/>
      <w:sz w:val="24"/>
      <w:szCs w:val="24"/>
      <w:lang w:eastAsia="zh-CN" w:bidi="hi-IN"/>
    </w:rPr>
  </w:style>
  <w:style w:type="character" w:styleId="Strong">
    <w:name w:val="Strong"/>
    <w:qFormat/>
    <w:rsid w:val="008e72a6"/>
    <w:rPr>
      <w:b/>
      <w:bC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8z0">
    <w:name w:val="WW8Num8z0"/>
    <w:qFormat/>
    <w:rPr>
      <w:b/>
      <w:bCs/>
    </w:rPr>
  </w:style>
  <w:style w:type="character" w:styleId="WW8Num8z1">
    <w:name w:val="WW8Num8z1"/>
    <w:qFormat/>
    <w:rPr>
      <w:b/>
      <w:bCs/>
      <w:sz w:val="24"/>
      <w:szCs w:val="24"/>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semiHidden/>
    <w:unhideWhenUsed/>
    <w:rsid w:val="003e1700"/>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Indent2">
    <w:name w:val="Body Text Indent 2"/>
    <w:basedOn w:val="Normal"/>
    <w:link w:val="Recuodecorpodetexto2Char"/>
    <w:qFormat/>
    <w:rsid w:val="003e1700"/>
    <w:pPr>
      <w:spacing w:lineRule="auto" w:line="480" w:before="0" w:after="120"/>
      <w:ind w:left="283" w:hanging="0"/>
    </w:pPr>
    <w:rPr>
      <w:rFonts w:ascii="Times New Roman" w:hAnsi="Times New Roman" w:eastAsia="Times New Roman" w:cs="Times New Roman"/>
      <w:sz w:val="24"/>
      <w:szCs w:val="24"/>
      <w:lang w:eastAsia="pt-BR"/>
    </w:rPr>
  </w:style>
  <w:style w:type="paragraph" w:styleId="ListParagraph">
    <w:name w:val="List Paragraph"/>
    <w:basedOn w:val="Normal"/>
    <w:qFormat/>
    <w:pPr>
      <w:spacing w:before="0" w:after="0"/>
      <w:ind w:left="720" w:hanging="0"/>
      <w:contextualSpacing/>
    </w:pPr>
    <w:rPr/>
  </w:style>
  <w:style w:type="paragraph" w:styleId="Annotationtext">
    <w:name w:val="annotation text"/>
    <w:basedOn w:val="Normal"/>
    <w:link w:val="TextodecomentrioChar"/>
    <w:uiPriority w:val="99"/>
    <w:unhideWhenUsed/>
    <w:qFormat/>
    <w:rsid w:val="00000a6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0a60"/>
    <w:pPr/>
    <w:rPr>
      <w:b/>
      <w:bCs/>
    </w:rPr>
  </w:style>
  <w:style w:type="paragraph" w:styleId="Contedodatabela" w:customStyle="1">
    <w:name w:val="Conteúdo da tabela"/>
    <w:basedOn w:val="Normal"/>
    <w:qFormat/>
    <w:pPr>
      <w:suppressLineNumbers/>
    </w:pPr>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4"/>
      <w:szCs w:val="24"/>
      <w:lang w:val="pt-BR" w:eastAsia="zh-CN" w:bidi="hi-IN"/>
    </w:rPr>
  </w:style>
  <w:style w:type="paragraph" w:styleId="Corpodetexto21" w:customStyle="1">
    <w:name w:val="Corpo de texto 21"/>
    <w:basedOn w:val="Normal"/>
    <w:qFormat/>
    <w:pPr>
      <w:spacing w:lineRule="auto" w:line="360"/>
      <w:jc w:val="both"/>
    </w:pPr>
    <w:rPr>
      <w:rFonts w:eastAsia="Times New Roman"/>
      <w:color w:val="000000"/>
    </w:rPr>
  </w:style>
  <w:style w:type="paragraph" w:styleId="PargrafodaLista">
    <w:name w:val="Parágrafo da Lista"/>
    <w:basedOn w:val="Normal"/>
    <w:qFormat/>
    <w:pPr>
      <w:spacing w:before="0" w:after="0"/>
      <w:ind w:left="720" w:right="0" w:hanging="0"/>
      <w:contextualSpacing/>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WW8Num12" w:customStyle="1">
    <w:name w:val="WW8Num12"/>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2" w:customStyle="1">
    <w:name w:val="WW8Num2"/>
    <w:qFormat/>
  </w:style>
  <w:style w:type="numbering" w:styleId="WW8Num9">
    <w:name w:val="WW8Num9"/>
    <w:qFormat/>
  </w:style>
  <w:style w:type="numbering" w:styleId="WW8Num8">
    <w:name w:val="WW8Num8"/>
    <w:qFormat/>
  </w:style>
  <w:style w:type="numbering" w:styleId="WW8Num4">
    <w:name w:val="WW8Num4"/>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3295</TotalTime>
  <Application>LibreOffice/7.4.2.3$Windows_X86_64 LibreOffice_project/382eef1f22670f7f4118c8c2dd222ec7ad009daf</Application>
  <AppVersion>15.0000</AppVersion>
  <Pages>6</Pages>
  <Words>1616</Words>
  <Characters>9005</Characters>
  <CharactersWithSpaces>10519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dc:description/>
  <dc:language>pt-BR</dc:language>
  <cp:lastModifiedBy/>
  <cp:lastPrinted>2024-11-18T10:41:20Z</cp:lastPrinted>
  <dcterms:modified xsi:type="dcterms:W3CDTF">2024-11-29T10:24:36Z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file>