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pPr>
      <w:r>
        <w:rPr>
          <w:rFonts w:cs="Arial" w:ascii="Arial" w:hAnsi="Arial"/>
          <w:b/>
          <w:color w:val="000000"/>
          <w:sz w:val="21"/>
          <w:szCs w:val="21"/>
        </w:rPr>
        <w:t xml:space="preserve">LICITAÇÃO EXCLUSIVAMENTE PARA MICRO E PEQUENAS EMPRESAS </w:t>
      </w:r>
    </w:p>
    <w:p>
      <w:pPr>
        <w:pStyle w:val="Normal"/>
        <w:spacing w:lineRule="auto" w:line="300" w:before="0" w:after="0"/>
        <w:ind w:left="0" w:right="0" w:hanging="0"/>
        <w:jc w:val="center"/>
        <w:rPr>
          <w:rFonts w:ascii="Arial" w:hAnsi="Arial" w:cs="Arial"/>
          <w:b/>
          <w:b/>
          <w:color w:val="000000"/>
          <w:sz w:val="21"/>
          <w:szCs w:val="21"/>
        </w:rPr>
      </w:pPr>
      <w:r>
        <w:rPr>
          <w:rFonts w:cs="Arial" w:ascii="Arial" w:hAnsi="Arial"/>
          <w:b/>
          <w:color w:val="000000"/>
          <w:sz w:val="21"/>
          <w:szCs w:val="21"/>
        </w:rPr>
      </w:r>
    </w:p>
    <w:p>
      <w:pPr>
        <w:pStyle w:val="Normal"/>
        <w:spacing w:lineRule="auto" w:line="300" w:before="0" w:after="0"/>
        <w:ind w:left="0" w:right="0" w:hanging="0"/>
        <w:jc w:val="center"/>
        <w:rPr/>
      </w:pPr>
      <w:r>
        <w:rPr>
          <w:rFonts w:cs="Arial" w:ascii="Arial" w:hAnsi="Arial"/>
          <w:b/>
          <w:bCs/>
          <w:i w:val="false"/>
          <w:iCs w:val="false"/>
          <w:color w:val="000000"/>
          <w:sz w:val="21"/>
          <w:szCs w:val="21"/>
        </w:rPr>
        <w:t xml:space="preserve">(De acordo com o art. 48, I da Lei Complementar nº 123/2006 alterado pela lei 147/2014) </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FLAVIO LUIZ BENINI</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futura e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w:t>
      </w:r>
      <w:r>
        <w:rPr>
          <w:rFonts w:ascii="Arial" w:hAnsi="Arial"/>
          <w:b/>
          <w:bCs/>
          <w:sz w:val="21"/>
          <w:szCs w:val="21"/>
        </w:rPr>
        <w:t xml:space="preserve"> 14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ascii="Arial" w:hAnsi="Arial"/>
          <w:b/>
          <w:bCs/>
          <w:sz w:val="21"/>
          <w:szCs w:val="21"/>
        </w:rPr>
        <w:t xml:space="preserve"> 14 de fevereiro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DATA LIMITE PARA IMPUGNAÇÃO E ESCLARECIMENTOS: 23h59m do dia 11  de fevereiro de 2025.</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 xml:space="preserve">OBJETO: </w:t>
      </w:r>
      <w:r>
        <w:rPr>
          <w:rFonts w:eastAsia="Arial" w:cs="Arial" w:ascii="Arial" w:hAnsi="Arial"/>
          <w:b w:val="false"/>
          <w:bCs/>
          <w:strike w:val="false"/>
          <w:dstrike w:val="false"/>
          <w:color w:val="000000"/>
          <w:sz w:val="22"/>
          <w:szCs w:val="21"/>
          <w:u w:val="none"/>
        </w:rPr>
        <w:t>A presente licita</w:t>
      </w:r>
      <w:r>
        <w:rPr>
          <w:rFonts w:ascii="Arial" w:hAnsi="Arial"/>
          <w:sz w:val="22"/>
        </w:rPr>
        <w:t>ção tem por objeto o REGISTRO DE PREÇOS  para eventual contratação com fornecimento parcelado,  de prestação de serviços de arbitragem, para uso da Diretoria Municipal de Esportes do Município de Lindóia do Sul, de acordo com os quantitativos estimados e durante o prazo de vigência da Ata de Registro de Preços.</w:t>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R$ 129.567,40  (cento e vinte e nove mil quinhentos e sessenta e sete reais e quarenta centavos).</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ascii="Arial" w:hAnsi="Arial"/>
          <w:b w:val="false"/>
          <w:bCs/>
          <w:strike w:val="false"/>
          <w:dstrike w:val="false"/>
          <w:color w:val="000000"/>
          <w:sz w:val="22"/>
          <w:szCs w:val="21"/>
          <w:u w:val="none"/>
        </w:rPr>
        <w:t>O presente processo licitatório tem como finalidade a realização de pregão eletrônico, o qual possui como objeto o REGISTRO DE PREÇOS para eventual contratação, com fornecimento parcelado, de prestação de serviços de arbitragem, para uso da Diretoria Municipal de Esportes do Município de Lindóia do Sul, de acordo com os quantitativos estimados e durante o prazo de vigência da Ata de Registro de preços.</w:t>
      </w:r>
    </w:p>
    <w:p>
      <w:pPr>
        <w:pStyle w:val="Default"/>
        <w:spacing w:lineRule="auto" w:line="300" w:before="0" w:after="0"/>
        <w:ind w:left="0" w:right="0" w:hanging="0"/>
        <w:jc w:val="both"/>
        <w:rPr>
          <w:rFonts w:ascii="Arial" w:hAnsi="Arial"/>
          <w:b w:val="false"/>
          <w:b w:val="false"/>
          <w:bCs/>
          <w:strike w:val="false"/>
          <w:dstrike w:val="false"/>
          <w:color w:val="000000"/>
          <w:sz w:val="22"/>
          <w:szCs w:val="21"/>
          <w:u w:val="none"/>
        </w:rPr>
      </w:pPr>
      <w:r>
        <w:rPr>
          <w:rFonts w:ascii="Arial" w:hAnsi="Arial"/>
          <w:b w:val="false"/>
          <w:bCs/>
          <w:strike w:val="false"/>
          <w:dstrike w:val="false"/>
          <w:color w:val="000000"/>
          <w:sz w:val="22"/>
          <w:szCs w:val="21"/>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 </w:t>
      </w:r>
      <w:r>
        <w:rPr>
          <w:rFonts w:eastAsia="Calibri" w:cs="Arial" w:ascii="Arial" w:hAnsi="Arial"/>
          <w:b w:val="false"/>
          <w:bCs w:val="false"/>
          <w:kern w:val="0"/>
          <w:sz w:val="21"/>
          <w:szCs w:val="21"/>
          <w:shd w:fill="auto" w:val="clear"/>
          <w:lang w:eastAsia="pt-BR"/>
        </w:rPr>
        <w:t xml:space="preserve">Nos termos do inciso I do Art. 48 da Lei Complementar nº 123, de 14/12/2006, alteração dada pela Lei Complementar nº 147, de 07/08/2014, a presente licitação </w:t>
      </w:r>
      <w:r>
        <w:rPr>
          <w:rFonts w:eastAsia="Calibri" w:cs="Arial" w:ascii="Arial" w:hAnsi="Arial"/>
          <w:b/>
          <w:bCs/>
          <w:kern w:val="0"/>
          <w:sz w:val="21"/>
          <w:szCs w:val="21"/>
          <w:shd w:fill="auto" w:val="clear"/>
          <w:lang w:eastAsia="pt-BR"/>
        </w:rPr>
        <w:t>é destinada à exclusiva participação de Micro e Pequenas Empresas</w:t>
      </w:r>
    </w:p>
    <w:p>
      <w:pPr>
        <w:pStyle w:val="Normal"/>
        <w:widowControl/>
        <w:suppressAutoHyphens w:val="false"/>
        <w:spacing w:lineRule="auto" w:line="300" w:before="0" w:after="0"/>
        <w:ind w:left="0" w:right="0" w:hanging="0"/>
        <w:rPr>
          <w:rFonts w:ascii="Arial" w:hAnsi="Arial" w:eastAsia="Calibri" w:cs="Arial"/>
          <w:b/>
          <w:b/>
          <w:bCs/>
          <w:kern w:val="0"/>
          <w:sz w:val="21"/>
          <w:szCs w:val="21"/>
          <w:highlight w:val="none"/>
          <w:shd w:fill="auto" w:val="clear"/>
          <w:lang w:eastAsia="pt-BR"/>
        </w:rPr>
      </w:pPr>
      <w:r>
        <w:rPr>
          <w:rFonts w:eastAsia="Calibri" w:cs="Arial" w:ascii="Arial" w:hAnsi="Arial"/>
          <w:b/>
          <w:bCs/>
          <w:kern w:val="0"/>
          <w:sz w:val="21"/>
          <w:szCs w:val="21"/>
          <w:shd w:fill="auto" w:val="clear"/>
          <w:lang w:eastAsia="pt-BR"/>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2.3.1. </w:t>
      </w:r>
      <w:r>
        <w:rPr>
          <w:rFonts w:eastAsia="Calibri" w:cs="Arial" w:ascii="Arial" w:hAnsi="Arial"/>
          <w:b w:val="false"/>
          <w:bCs w:val="false"/>
          <w:kern w:val="0"/>
          <w:sz w:val="21"/>
          <w:szCs w:val="21"/>
          <w:shd w:fill="auto" w:val="clear"/>
          <w:lang w:eastAsia="pt-BR"/>
        </w:rPr>
        <w:t>Consideram-se Micro e Pequenas Empresas aptas à participação no presente certame aquelas que preencham os requisitos do art. 3º da Lei Complementar nº 123/2006 e que não se enquadrem em nenhum das situações descritas no Parágrafo 4º do referido Art. 3º.</w:t>
      </w:r>
    </w:p>
    <w:p>
      <w:pPr>
        <w:pStyle w:val="Normal"/>
        <w:spacing w:lineRule="auto" w:line="300" w:before="0" w:after="0"/>
        <w:ind w:left="0" w:right="0" w:hanging="0"/>
        <w:jc w:val="both"/>
        <w:rPr>
          <w:rFonts w:ascii="Arial" w:hAnsi="Arial" w:eastAsia="Calibri" w:cs="Arial"/>
          <w:b/>
          <w:b/>
          <w:bCs/>
          <w:color w:val="000000"/>
          <w:kern w:val="2"/>
          <w:sz w:val="21"/>
          <w:szCs w:val="21"/>
          <w:highlight w:val="none"/>
          <w:shd w:fill="auto" w:val="clear"/>
          <w:lang w:eastAsia="zh-CN"/>
        </w:rPr>
      </w:pPr>
      <w:r>
        <w:rPr>
          <w:rFonts w:eastAsia="Calibri" w:cs="Arial" w:ascii="Arial" w:hAnsi="Arial"/>
          <w:b/>
          <w:bCs/>
          <w:color w:val="000000"/>
          <w:kern w:val="2"/>
          <w:sz w:val="21"/>
          <w:szCs w:val="21"/>
          <w:shd w:fill="auto" w:val="clear"/>
          <w:lang w:eastAsia="zh-CN"/>
        </w:rPr>
      </w:r>
    </w:p>
    <w:p>
      <w:pPr>
        <w:pStyle w:val="Normal"/>
        <w:widowControl/>
        <w:suppressAutoHyphens w:val="false"/>
        <w:bidi w:val="0"/>
        <w:spacing w:lineRule="auto" w:line="300" w:before="0" w:after="0"/>
        <w:ind w:left="0" w:right="0" w:hanging="0"/>
        <w:jc w:val="both"/>
        <w:rPr>
          <w:highlight w:val="none"/>
          <w:shd w:fill="auto" w:val="clear"/>
        </w:rPr>
      </w:pPr>
      <w:r>
        <w:rPr>
          <w:rFonts w:cs="Arial" w:ascii="Arial" w:hAnsi="Arial"/>
          <w:b w:val="false"/>
          <w:bCs w:val="false"/>
          <w:color w:val="000000"/>
          <w:kern w:val="2"/>
          <w:sz w:val="21"/>
          <w:szCs w:val="21"/>
          <w:shd w:fill="auto" w:val="clear"/>
          <w:lang w:eastAsia="zh-CN"/>
        </w:rPr>
        <w:t xml:space="preserve">2.3.2. </w:t>
      </w:r>
      <w:r>
        <w:rPr>
          <w:rFonts w:eastAsia="Calibri" w:cs="Arial" w:ascii="Arial" w:hAnsi="Arial"/>
          <w:b w:val="false"/>
          <w:bCs w:val="false"/>
          <w:kern w:val="0"/>
          <w:sz w:val="21"/>
          <w:szCs w:val="21"/>
          <w:shd w:fill="auto" w:val="clear"/>
          <w:lang w:eastAsia="pt-BR"/>
        </w:rPr>
        <w:t xml:space="preserve">Para fins de comprovação da condição de Micro ou Empresas de Pequeno Porte assim definidas aquelas que se enquadram na classificação descritas no art. 3º da Lei Complementar nº 123/2006, as Licitantes deverão apresentar Certidão Simplificada da junta Comercial, </w:t>
      </w:r>
      <w:r>
        <w:rPr>
          <w:rFonts w:eastAsia="Times New Roman" w:cs="Arial" w:ascii="Arial" w:hAnsi="Arial"/>
          <w:b w:val="false"/>
          <w:bCs w:val="false"/>
          <w:color w:val="000000"/>
          <w:kern w:val="0"/>
          <w:sz w:val="21"/>
          <w:szCs w:val="21"/>
          <w:shd w:fill="auto" w:val="clear"/>
          <w:lang w:eastAsia="zh-CN"/>
        </w:rPr>
        <w:t>ou outra declaração que comprove tal</w:t>
      </w:r>
      <w:r>
        <w:rPr>
          <w:rFonts w:eastAsia="Times New Roman" w:cs="Arial" w:ascii="Arial" w:hAnsi="Arial"/>
          <w:b/>
          <w:bCs/>
          <w:color w:val="000000"/>
          <w:kern w:val="0"/>
          <w:sz w:val="21"/>
          <w:szCs w:val="21"/>
          <w:shd w:fill="auto" w:val="clear"/>
          <w:lang w:eastAsia="zh-CN"/>
        </w:rPr>
        <w:t xml:space="preserve"> </w:t>
      </w:r>
      <w:r>
        <w:rPr>
          <w:rFonts w:eastAsia="Times New Roman" w:cs="Arial" w:ascii="Arial" w:hAnsi="Arial"/>
          <w:b w:val="false"/>
          <w:bCs w:val="false"/>
          <w:color w:val="000000"/>
          <w:kern w:val="0"/>
          <w:sz w:val="21"/>
          <w:szCs w:val="21"/>
          <w:shd w:fill="auto" w:val="clear"/>
          <w:lang w:eastAsia="zh-CN"/>
        </w:rPr>
        <w:t>enquadramento, assinado pelo representante legal da empresa, conforme ao que dispõe o § 2º, art 13 do Decreto nº 8.538 de 06 de outubro de 2015</w:t>
      </w:r>
      <w:r>
        <w:rPr>
          <w:rFonts w:eastAsia="Times New Roman" w:cs="Arial" w:ascii="Arial" w:hAnsi="Arial"/>
          <w:b w:val="false"/>
          <w:bCs/>
          <w:color w:val="000000"/>
          <w:kern w:val="0"/>
          <w:sz w:val="21"/>
          <w:szCs w:val="21"/>
          <w:shd w:fill="auto" w:val="clear"/>
          <w:lang w:eastAsia="zh-CN"/>
        </w:rPr>
        <w:t>.</w:t>
      </w:r>
    </w:p>
    <w:p>
      <w:pPr>
        <w:pStyle w:val="Normal"/>
        <w:widowControl/>
        <w:suppressAutoHyphens w:val="false"/>
        <w:spacing w:lineRule="auto" w:line="300" w:before="0" w:after="0"/>
        <w:ind w:left="0" w:right="0" w:hanging="0"/>
        <w:jc w:val="both"/>
        <w:rPr>
          <w:rFonts w:ascii="Arial" w:hAnsi="Arial" w:eastAsia="Calibri" w:cs="Arial"/>
          <w:b/>
          <w:b/>
          <w:bCs/>
          <w:kern w:val="0"/>
          <w:sz w:val="21"/>
          <w:szCs w:val="21"/>
          <w:highlight w:val="none"/>
          <w:shd w:fill="auto" w:val="clear"/>
          <w:lang w:eastAsia="pt-BR"/>
        </w:rPr>
      </w:pPr>
      <w:r>
        <w:rPr>
          <w:rFonts w:eastAsia="Calibri" w:cs="Arial" w:ascii="Arial" w:hAnsi="Arial"/>
          <w:b/>
          <w:bCs/>
          <w:kern w:val="0"/>
          <w:sz w:val="21"/>
          <w:szCs w:val="21"/>
          <w:shd w:fill="auto" w:val="clear"/>
          <w:lang w:eastAsia="pt-BR"/>
        </w:rPr>
      </w:r>
    </w:p>
    <w:p>
      <w:pPr>
        <w:pStyle w:val="Normal"/>
        <w:widowControl/>
        <w:suppressAutoHyphens w:val="false"/>
        <w:bidi w:val="0"/>
        <w:spacing w:lineRule="auto" w:line="300" w:before="0" w:after="0"/>
        <w:ind w:left="0" w:right="0" w:hanging="0"/>
        <w:jc w:val="both"/>
        <w:rPr/>
      </w:pPr>
      <w:r>
        <w:rPr>
          <w:rFonts w:eastAsia="Calibri" w:cs="Arial" w:ascii="Arial" w:hAnsi="Arial"/>
          <w:b w:val="false"/>
          <w:bCs w:val="false"/>
          <w:kern w:val="0"/>
          <w:sz w:val="21"/>
          <w:szCs w:val="21"/>
          <w:lang w:eastAsia="pt-BR"/>
        </w:rPr>
        <w:t xml:space="preserve">2.3.3. </w:t>
      </w:r>
      <w:r>
        <w:rPr>
          <w:rFonts w:cs="Arial" w:ascii="Arial" w:hAnsi="Arial"/>
          <w:b w:val="false"/>
          <w:bCs w:val="false"/>
          <w:color w:val="000000"/>
          <w:kern w:val="2"/>
          <w:sz w:val="21"/>
          <w:szCs w:val="21"/>
          <w:lang w:eastAsia="zh-CN"/>
        </w:rPr>
        <w:t>No caso de participação de sociedades simples, que não registrarem seus atos na Junta Comercial, deverão apresentar declaração assinada pelo representante legal e contabilista, atestando que sua receita bruta no ano calendário anterior, não ultrapassou o limite definido no inciso II do caput do Art. 3° da Lei Complementar 123/2006.</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val="false"/>
        <w:suppressAutoHyphens w:val="true"/>
        <w:bidi w:val="0"/>
        <w:spacing w:lineRule="auto" w:line="300" w:before="0" w:after="0"/>
        <w:ind w:left="0" w:right="0" w:hanging="0"/>
        <w:jc w:val="both"/>
        <w:rPr>
          <w:highlight w:val="none"/>
          <w:shd w:fill="auto" w:val="clear"/>
        </w:rPr>
      </w:pPr>
      <w:r>
        <w:rPr>
          <w:rFonts w:cs="Arial" w:ascii="Arial" w:hAnsi="Arial"/>
          <w:color w:val="000000"/>
          <w:kern w:val="2"/>
          <w:sz w:val="21"/>
          <w:szCs w:val="21"/>
          <w:shd w:fill="auto" w:val="clear"/>
          <w:lang w:eastAsia="zh-CN"/>
        </w:rPr>
        <w:t xml:space="preserve">2.4. Poderão participar da presente licitação </w:t>
      </w:r>
      <w:r>
        <w:rPr>
          <w:rFonts w:cs="Arial" w:ascii="Arial" w:hAnsi="Arial"/>
          <w:b/>
          <w:color w:val="000000"/>
          <w:kern w:val="2"/>
          <w:sz w:val="21"/>
          <w:szCs w:val="21"/>
          <w:shd w:fill="auto" w:val="clear"/>
          <w:lang w:eastAsia="zh-CN"/>
        </w:rPr>
        <w:t>EXCLUSIVAMENTE Micro Empresas e/ou Empresa de Pequeno Porte.</w:t>
      </w:r>
    </w:p>
    <w:p>
      <w:pPr>
        <w:pStyle w:val="Normal"/>
        <w:widowControl w:val="false"/>
        <w:suppressAutoHyphens w:val="true"/>
        <w:bidi w:val="0"/>
        <w:spacing w:lineRule="auto" w:line="300" w:before="0" w:after="0"/>
        <w:ind w:left="0" w:right="0" w:hanging="0"/>
        <w:jc w:val="both"/>
        <w:rPr>
          <w:rFonts w:ascii="Arial" w:hAnsi="Arial" w:cs="Arial"/>
          <w:b/>
          <w:b/>
          <w:color w:val="000000"/>
          <w:kern w:val="2"/>
          <w:sz w:val="21"/>
          <w:szCs w:val="21"/>
          <w:lang w:eastAsia="zh-CN"/>
        </w:rPr>
      </w:pPr>
      <w:r>
        <w:rPr>
          <w:rFonts w:cs="Arial" w:ascii="Arial" w:hAnsi="Arial"/>
          <w:b/>
          <w:color w:val="000000"/>
          <w:kern w:val="2"/>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todos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que se enquadrem como Micro e Pequenas Empresas,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nas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t)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t.1)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t.4)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t.5) As consultas para o CNPJ do licitante, constante nos itens “t.2”, “t.3” e “t.4”,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LOnormal1"/>
        <w:keepNext w:val="false"/>
        <w:keepLines w:val="false"/>
        <w:pageBreakBefore w:val="false"/>
        <w:widowControl/>
        <w:shd w:val="clear" w:fill="auto"/>
        <w:tabs>
          <w:tab w:val="clear" w:pos="709"/>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highlight w:val="none"/>
          <w:shd w:fill="auto" w:val="clear"/>
        </w:rPr>
      </w:pPr>
      <w:r>
        <w:rPr>
          <w:rFonts w:eastAsia="Times New Roman" w:cs="Arial" w:ascii="Arial" w:hAnsi="Arial"/>
          <w:bCs/>
          <w:color w:val="000000"/>
          <w:kern w:val="0"/>
          <w:sz w:val="21"/>
          <w:szCs w:val="21"/>
          <w:shd w:fill="auto" w:val="clear"/>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MAIS VANTAJOSA, JULGAMENTO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suprarreferidos,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às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 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30 (trinta)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 xml:space="preserve">20. DAS ENTREGAS E EXECUÇÃO </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 xml:space="preserve">20.1. </w:t>
      </w:r>
      <w:r>
        <w:rPr>
          <w:rFonts w:cs="Arial" w:ascii="Arial" w:hAnsi="Arial"/>
          <w:bCs/>
          <w:color w:val="000000"/>
          <w:sz w:val="21"/>
          <w:szCs w:val="21"/>
        </w:rPr>
        <w:t>A contratação com os fornecedores registrados será formalizada pelo Órgão</w:t>
      </w:r>
    </w:p>
    <w:p>
      <w:pPr>
        <w:pStyle w:val="Normal"/>
        <w:widowControl/>
        <w:suppressAutoHyphens w:val="true"/>
        <w:bidi w:val="0"/>
        <w:spacing w:lineRule="auto" w:line="300" w:before="0" w:after="0"/>
        <w:ind w:left="0" w:right="0" w:hanging="0"/>
        <w:jc w:val="both"/>
        <w:rPr/>
      </w:pPr>
      <w:r>
        <w:rPr>
          <w:rFonts w:cs="Arial" w:ascii="Arial" w:hAnsi="Arial"/>
          <w:bCs/>
          <w:color w:val="000000"/>
          <w:sz w:val="21"/>
          <w:szCs w:val="21"/>
        </w:rPr>
        <w:t>Participante por intermédio de emissão de nota de Solicitação de Fornecimento e devem ser</w:t>
      </w:r>
    </w:p>
    <w:p>
      <w:pPr>
        <w:pStyle w:val="Normal"/>
        <w:widowControl/>
        <w:suppressAutoHyphens w:val="true"/>
        <w:bidi w:val="0"/>
        <w:spacing w:lineRule="auto" w:line="300" w:before="0" w:after="0"/>
        <w:ind w:left="0" w:right="0" w:hanging="0"/>
        <w:jc w:val="both"/>
        <w:rPr/>
      </w:pPr>
      <w:r>
        <w:rPr>
          <w:rFonts w:cs="Arial" w:ascii="Arial" w:hAnsi="Arial"/>
          <w:bCs/>
          <w:color w:val="000000"/>
          <w:sz w:val="21"/>
          <w:szCs w:val="21"/>
        </w:rPr>
        <w:t>prestados em até 20 dias</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t>20.2 O serviço deverá ser executado conforme o calendário Esportivo da Diretoria Municipal de Esportes, obedecendo ao início dos jogos e demais eventos desenvolvidos por esta Diretoria durante o decorrer do ano de 2025. O serviço deverá ser executado, conforme calendário anual dos jogos, aonde constará dia, hora, local e quantidades de jogos por rodada.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20.3.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9"/>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l) ANEXO XII –  Ata de Registro de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Lindóia do Sul (SC), 30 de janeiro de 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Flavio Luiz Benini</w:t>
      </w:r>
    </w:p>
    <w:p>
      <w:pPr>
        <w:pStyle w:val="Normal"/>
        <w:widowControl/>
        <w:suppressAutoHyphens w:val="true"/>
        <w:bidi w:val="0"/>
        <w:spacing w:lineRule="auto" w:line="300" w:before="0" w:after="0"/>
        <w:ind w:left="0" w:right="0" w:hanging="0"/>
        <w:jc w:val="both"/>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TERMO DE REFERÊNCIA</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97/2024</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t>Processo Administrativo Licitatório Eletrônico (e-PAL) n. XXXX/2024</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32"/>
          <w:shd w:fill="auto" w:val="clear"/>
        </w:rPr>
      </w:pPr>
      <w:r>
        <w:rPr>
          <w:rFonts w:eastAsia="Arial" w:cs="Arial" w:ascii="Arial" w:hAnsi="Arial"/>
          <w:b/>
          <w:color w:val="000000"/>
          <w:spacing w:val="0"/>
          <w:sz w:val="32"/>
          <w:shd w:fill="auto" w:val="clear"/>
        </w:rPr>
        <w:t>TERMO DE REFERÊNCIA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8"/>
          <w:shd w:fill="auto" w:val="clear"/>
        </w:rPr>
      </w:pPr>
      <w:r>
        <w:rPr>
          <w:rFonts w:eastAsia="Arial" w:cs="Arial" w:ascii="Arial" w:hAnsi="Arial"/>
          <w:b/>
          <w:color w:val="000000"/>
          <w:spacing w:val="0"/>
          <w:sz w:val="28"/>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8"/>
          <w:shd w:fill="auto" w:val="clear"/>
        </w:rPr>
      </w:pPr>
      <w:r>
        <w:rPr>
          <w:rFonts w:eastAsia="Arial" w:cs="Arial" w:ascii="Arial" w:hAnsi="Arial"/>
          <w:b/>
          <w:color w:val="000000"/>
          <w:spacing w:val="0"/>
          <w:sz w:val="28"/>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PARA REALIZAÇÃO DE REGISTRO DE PREÇO NA MODALIDADE PREGÃO PARA FUTURA E EVENTUAL CONTRATAÇÃO, COM FORNECIMENTO PARCELADO, DE SERVIÇOS DE ARBITRAGEM PARA USO DOS ÓRGÃOS OU ENTIDADES DO MUNICÍPIO DE LINDÓIA DO SUL.</w:t>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t xml:space="preserve"> </w:t>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Tahoma" w:hAnsi="Tahoma" w:eastAsia="Tahoma" w:cs="Tahoma"/>
          <w:color w:val="auto"/>
          <w:spacing w:val="0"/>
          <w:sz w:val="22"/>
          <w:shd w:fill="auto" w:val="clear"/>
        </w:rPr>
      </w:pPr>
      <w:r>
        <w:rPr>
          <w:rFonts w:eastAsia="Tahoma" w:cs="Tahoma" w:ascii="Tahoma" w:hAnsi="Tahoma"/>
          <w:color w:val="000000"/>
          <w:spacing w:val="0"/>
          <w:sz w:val="22"/>
          <w:shd w:fill="auto" w:val="clear"/>
        </w:rPr>
      </w:r>
    </w:p>
    <w:p>
      <w:pPr>
        <w:pStyle w:val="Normal"/>
        <w:widowControl w:val="false"/>
        <w:suppressAutoHyphens w:val="true"/>
        <w:bidi w:val="0"/>
        <w:spacing w:lineRule="exact" w:line="259" w:before="0" w:after="0"/>
        <w:ind w:left="0" w:right="0" w:hanging="0"/>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r>
    </w:p>
    <w:p>
      <w:pPr>
        <w:pStyle w:val="Normal"/>
        <w:widowControl w:val="false"/>
        <w:numPr>
          <w:ilvl w:val="0"/>
          <w:numId w:val="1"/>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DISPOSIÇÕES PRELIMINARES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 fase preparatória da licitação visa planejar e com as leis orçamentárias, bem como abordar todas as considerações técnicas, mercadológicas e de gestão que podem interferir na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Assim, o presente Termo de Referência configura-se como parte integrante da instrução do processo licitatório já iniciado para atendimento de demanda da Diretoria Municipal de Esportes do município por precisar de serviços de arbitragem para realizar os Campeonatos Municipais, o qual concluíra pela maior vantajosidade na aquisição de serviço de arbitragem para os Campeonatos Municipais no ano de 2025, para atendimento da demanda.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2"/>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FUNDAMENTAÇÃO DA CONTRATAÇÃO</w:t>
      </w:r>
    </w:p>
    <w:p>
      <w:pPr>
        <w:pStyle w:val="Normal"/>
        <w:widowControl w:val="false"/>
        <w:suppressAutoHyphens w:val="true"/>
        <w:bidi w:val="0"/>
        <w:spacing w:lineRule="exact" w:line="360" w:before="0" w:after="0"/>
        <w:ind w:left="0" w:right="0" w:hanging="0"/>
        <w:jc w:val="left"/>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Tratando-se de demandas comuns e recorrentes a Diretoria Municipal de Esportes do município.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Dessa maneira, considerando tratar-se de um processo licitatório individual, atende a necessidade de sua realização decorre da demanda histórica apresentada pelas secretarias e verificável pelos quantitativos dos Editais, </w:t>
      </w:r>
      <w:r>
        <w:rPr>
          <w:rFonts w:eastAsia="Arial" w:cs="Arial" w:ascii="Arial" w:hAnsi="Arial"/>
          <w:color w:val="000000"/>
          <w:spacing w:val="0"/>
          <w:sz w:val="21"/>
          <w:shd w:fill="auto" w:val="clear"/>
        </w:rPr>
        <w:t>processo licitatório nº 55/2023, pregão eletrônico nº 17/2023,</w:t>
      </w:r>
      <w:r>
        <w:rPr>
          <w:rFonts w:eastAsia="Arial" w:cs="Arial" w:ascii="Arial" w:hAnsi="Arial"/>
          <w:color w:val="000000"/>
          <w:spacing w:val="0"/>
          <w:sz w:val="22"/>
          <w:shd w:fill="auto" w:val="clear"/>
        </w:rPr>
        <w:t xml:space="preserve"> para prestação de serviços de arbitragem.</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Serviços de arbitragem para os Campeonatos Municipais no ano de 2025:</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b/>
        <w:t>- Campeonato Municipal de Futsal;</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Campeonato Municipal de Futebol;</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Campeonato Municipal de Futebol Suiço;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Diárias de arbitragem (Futsal, Futebol, Futebol Suiço, Futevôlei, Voleibol, Volêi de Areia, Bocha, Bolão)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Tahoma" w:hAnsi="Tahoma" w:eastAsia="Tahoma" w:cs="Tahoma"/>
          <w:color w:val="auto"/>
          <w:spacing w:val="0"/>
          <w:sz w:val="22"/>
          <w:shd w:fill="auto" w:val="clear"/>
        </w:rPr>
      </w:pPr>
      <w:r>
        <w:rPr>
          <w:rFonts w:eastAsia="Arial" w:cs="Arial" w:ascii="Arial" w:hAnsi="Arial"/>
          <w:color w:val="000000"/>
          <w:spacing w:val="0"/>
          <w:sz w:val="22"/>
          <w:shd w:fill="auto" w:val="clear"/>
        </w:rPr>
        <w:tab/>
        <w:t>A Diretoria Municipal de Esportes necessita de empresa de arbitragem para o bom andamento dos Campeonatos Municipais que vão ser realizados durante o ano de 2025, tendo em vista que a contratação da empresa atende os requisitos acima citados.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Verifica-se, portanto, que a satisfação da demanda por necessitar de arbitragem, requer a contratação de empresa para prestação de serviços de arbitragem, razão pela qual a Diretoria Municipal de Esportes apresenta historicamente solicitação de contratação de empresa para prestação de serviços para o município.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FF0000" w:val="clear"/>
        </w:rPr>
      </w:pPr>
      <w:r>
        <w:rPr>
          <w:rFonts w:eastAsia="Arial" w:cs="Arial" w:ascii="Arial" w:hAnsi="Arial"/>
          <w:b/>
          <w:color w:val="000000"/>
          <w:spacing w:val="0"/>
          <w:sz w:val="22"/>
          <w:shd w:fill="FF0000" w:val="clear"/>
        </w:rPr>
      </w:r>
    </w:p>
    <w:p>
      <w:pPr>
        <w:pStyle w:val="Normal"/>
        <w:widowControl w:val="false"/>
        <w:numPr>
          <w:ilvl w:val="0"/>
          <w:numId w:val="3"/>
        </w:numPr>
        <w:suppressAutoHyphens w:val="true"/>
        <w:bidi w:val="0"/>
        <w:spacing w:lineRule="exact" w:line="360" w:before="0" w:after="0"/>
        <w:ind w:left="709" w:right="0" w:hanging="709"/>
        <w:jc w:val="both"/>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PROCEDIMENTO A SER REALIZADO PARA AQUISIÇÃO DO OBJETO</w:t>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A partir da definição da prestação de serviço do supracitado realiza o atendimento da demanda exposta.</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De início, destaca-se que, nos termos da regulamentação do município, os itens a serem licitados serão de serviços de natureza, não superior à necessária para cumprir as finalidades às quais se destinam, razão pela qual sua aquisição encontra-se autorizada, conforme disposição do art. 20 da Lei Federal n. 14.133/2021.</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 </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 xml:space="preserve">A respeito da possibilidade de realização de credenciamento, verifica-se que o presente caso não se subsume a qualquer das situações previstas no </w:t>
      </w:r>
      <w:r>
        <w:rPr>
          <w:rFonts w:eastAsia="Arial" w:cs="Arial" w:ascii="Arial" w:hAnsi="Arial"/>
          <w:i/>
          <w:color w:val="000000"/>
          <w:spacing w:val="0"/>
          <w:sz w:val="22"/>
          <w:shd w:fill="auto" w:val="clear"/>
        </w:rPr>
        <w:t>caput</w:t>
      </w:r>
      <w:r>
        <w:rPr>
          <w:rFonts w:eastAsia="Arial" w:cs="Arial" w:ascii="Arial" w:hAnsi="Arial"/>
          <w:color w:val="000000"/>
          <w:spacing w:val="0"/>
          <w:sz w:val="22"/>
          <w:shd w:fill="auto" w:val="clear"/>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 xml:space="preserve">Assim, não se configurando hipótese de contratação direta, tampouco do procedimento auxiliar de credenciamento, imperioso o cumprimento do dever constitucional de realização de licitação, a qual ocorrerá na modalidade pregão, visto que, nos termos do art. 6º, inciso XLI, e do art. 29, </w:t>
      </w:r>
      <w:r>
        <w:rPr>
          <w:rFonts w:eastAsia="Arial" w:cs="Arial" w:ascii="Arial" w:hAnsi="Arial"/>
          <w:i/>
          <w:color w:val="000000"/>
          <w:spacing w:val="0"/>
          <w:sz w:val="22"/>
          <w:shd w:fill="auto" w:val="clear"/>
        </w:rPr>
        <w:t>caput</w:t>
      </w:r>
      <w:r>
        <w:rPr>
          <w:rFonts w:eastAsia="Arial" w:cs="Arial" w:ascii="Arial" w:hAnsi="Arial"/>
          <w:color w:val="000000"/>
          <w:spacing w:val="0"/>
          <w:sz w:val="22"/>
          <w:shd w:fill="auto" w:val="clear"/>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serviço de natureza comum, podendo ser objetivamente definido no edital.</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a prestação de serviços, a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do município.</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No âmbito de atuação do município, o Sistema de Registro de Preços encontra-se regulamentado pelo Decreto nº 4072 de 11 de janeiro de 2024.</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Nesse modelo licitatório, existem duas etapas. A primeira, centralizada, é realizada de forma centralizada pelo município, voltada ao planejamento, seleção do fornecedor e, tratando-se de SRP, formalização da ata de registro de preços. A segunda, descentralizada, é voltada na aquisição efetiva dos bens e serviços pel</w:t>
      </w:r>
      <w:r>
        <w:rPr>
          <w:rFonts w:eastAsia="Arial" w:cs="Arial" w:ascii="Arial" w:hAnsi="Arial"/>
          <w:color w:val="000000"/>
          <w:spacing w:val="0"/>
          <w:sz w:val="22"/>
          <w:shd w:fill="auto" w:val="clear"/>
          <w:lang w:val="pt-BR"/>
        </w:rPr>
        <w:t xml:space="preserve">os diversos orgãos e entidades </w:t>
      </w:r>
      <w:r>
        <w:rPr>
          <w:rFonts w:eastAsia="Arial" w:cs="Arial" w:ascii="Arial" w:hAnsi="Arial"/>
          <w:color w:val="000000"/>
          <w:spacing w:val="0"/>
          <w:sz w:val="22"/>
          <w:shd w:fill="auto" w:val="clear"/>
        </w:rPr>
        <w:t xml:space="preserve">do município, denominados Órgãos Participantes, sob sua gestão e responsabilidade. </w:t>
      </w:r>
    </w:p>
    <w:p>
      <w:pPr>
        <w:pStyle w:val="Normal"/>
        <w:widowControl w:val="false"/>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Ante o exposto, verifica-se que o procedimento licitatório mais adequado e que será realizado para a aquisição do objeto supracitado é a realização de licitação, na modalidade pregão, pelo critério de menor preço e auxiliada pelo sistema de registro de preços, atuando o município como Órgão Gerenciador.</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Tratando-se de processo licitatório visando o registro de preço dos itens listados, a estimativa total de quantidades para contratação é definida através da realização do procedimento público de intenção para registro de preços (IRP), previsto no art. 86 da Lei Federal n. 14.133/2021:</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18"/>
          <w:shd w:fill="auto" w:val="clear"/>
        </w:rPr>
      </w:pPr>
      <w:r>
        <w:rPr>
          <w:rFonts w:eastAsia="Arial" w:cs="Arial" w:ascii="Arial" w:hAnsi="Arial"/>
          <w:color w:val="000000"/>
          <w:spacing w:val="0"/>
          <w:sz w:val="22"/>
          <w:shd w:fill="auto" w:val="clear"/>
        </w:rPr>
        <w:t>Destaca-se que este procedimento se encontra regulamentado no âmbito do município pelo Decreto nº 4072 de 11 de janeiro de 2024.</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olor w:val="000000"/>
          <w:spacing w:val="0"/>
          <w:sz w:val="22"/>
          <w:shd w:fill="auto" w:val="clear"/>
        </w:rPr>
      </w:pPr>
      <w:r>
        <w:rPr>
          <w:rFonts w:eastAsia="Arial" w:ascii="Arial" w:hAnsi="Arial"/>
          <w:color w:val="000000"/>
          <w:spacing w:val="0"/>
          <w:sz w:val="22"/>
          <w:shd w:fill="auto" w:val="clear"/>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órgão gerenciador.</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olor w:val="000000"/>
          <w:spacing w:val="0"/>
          <w:sz w:val="22"/>
          <w:shd w:fill="auto" w:val="clear"/>
        </w:rPr>
      </w:pPr>
      <w:r>
        <w:rPr>
          <w:rFonts w:eastAsia="Arial" w:ascii="Arial" w:hAnsi="Arial"/>
          <w:color w:val="000000"/>
          <w:spacing w:val="0"/>
          <w:sz w:val="22"/>
          <w:shd w:fill="auto" w:val="clear"/>
        </w:rPr>
        <w:t>Tratando-se de processo licitatório visando o registro de preço dos itens listados, a estimativa total de quantidades para contratação foi definida através da demanda do município. Dessa forma que se encontra plenamente confirmada pelos próprios órgãos a necessidade de contratação apresentada, cujos quantitativos encontram-se discriminados nas páginas seguintes.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olor w:val="000000"/>
          <w:spacing w:val="0"/>
          <w:sz w:val="22"/>
          <w:shd w:fill="auto" w:val="clear"/>
        </w:rPr>
      </w:pPr>
      <w:r>
        <w:rPr>
          <w:rFonts w:eastAsia="Arial" w:ascii="Arial" w:hAnsi="Arial"/>
          <w:color w:val="000000"/>
          <w:spacing w:val="0"/>
          <w:sz w:val="22"/>
          <w:shd w:fill="auto" w:val="clear"/>
        </w:rPr>
      </w:r>
    </w:p>
    <w:p>
      <w:pPr>
        <w:pStyle w:val="Normal"/>
        <w:widowControl w:val="false"/>
        <w:numPr>
          <w:ilvl w:val="0"/>
          <w:numId w:val="4"/>
        </w:numPr>
        <w:tabs>
          <w:tab w:val="left" w:pos="709" w:leader="none"/>
          <w:tab w:val="left" w:pos="2340" w:leader="none"/>
          <w:tab w:val="left" w:pos="4464" w:leader="none"/>
        </w:tabs>
        <w:suppressAutoHyphens w:val="true"/>
        <w:bidi w:val="0"/>
        <w:spacing w:lineRule="exact" w:line="360" w:before="0" w:after="0"/>
        <w:ind w:left="709" w:right="0" w:hanging="709"/>
        <w:jc w:val="both"/>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PROVIDÊNCIAS A SEREM ADOTADAS PELA ADMINISTRAÇÃO E CONTRATAÇÕES CORRELATAS E/OU INTERDEPENDENTES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Como providências mínimas a serem adotadas, sem exclusão de outras que vierem a ser necessárias para o pleno atendimento da demanda, é importante que os Órgãos Participantes contratantes verifiquem a eventual necessidade de </w:t>
      </w:r>
      <w:r>
        <w:rPr>
          <w:rFonts w:eastAsia="Arial" w:cs="Arial" w:ascii="Arial" w:hAnsi="Arial"/>
          <w:color w:val="000000"/>
          <w:spacing w:val="0"/>
          <w:sz w:val="21"/>
          <w:szCs w:val="21"/>
          <w:shd w:fill="auto" w:val="clear"/>
        </w:rPr>
        <w:t>contratação de empresa para prestação de serviços de arbitragem e julgamento dos jogos dos Campeonatos Municipais de Futsal, Futebol Sete, Futebol de Campo, Olimpíadas, Torneios e Festivais, em conformidade com as especificações constantes neste termo, conforme especificações abaixo:</w:t>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Ainda nas mínimas condições anteriores, para plena satisfação da demanda exposta, é importante que os Órgãos Participantes contratantes verifiquem a eventual necessidade de, para além da aquisição do objeto da presente licitação, realizarem a contratação de </w:t>
      </w:r>
      <w:r>
        <w:rPr>
          <w:rFonts w:eastAsia="Arial" w:cs="Arial" w:ascii="Arial" w:hAnsi="Arial"/>
          <w:color w:val="000000"/>
          <w:spacing w:val="0"/>
          <w:sz w:val="21"/>
          <w:szCs w:val="21"/>
          <w:shd w:fill="auto" w:val="clear"/>
        </w:rPr>
        <w:t>de empresa para prestação de serviços de arbitragem e julgamento dos jogos dos Campeonatos Municipais de Futsal, Futebol Sete, Futebol de Campo, Olimpíadas, Torneios e Festivais, tendo em vista que isso acontece todos os anos em nosso município.</w:t>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Ressalta-se que, como em qualquer contratação decorrente de licitação centralizada efetivada pelo município, cabe ao órgão ou entidade a realização de algumas providências. Previamente à celebração do contrato para aquisição do bem ou prestação do serviço licitado, deverá realizar o seu levantamento de mercado para, considerando sua realidade social e orçamentária, definir quais dos itens licitados serão solicitados e quais providências e contratações deverão ser por si realizadas para o pleno atendimento de sua demanda específica. Ademais, para a sua execução, deverá realizar a capacitação de servidores ou de empregados públicos para fiscalização e gestão contratual.</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5"/>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DEFINIÇÃO DO OBJETO</w:t>
      </w:r>
    </w:p>
    <w:p>
      <w:pPr>
        <w:pStyle w:val="Normal"/>
        <w:widowControl w:val="false"/>
        <w:suppressAutoHyphens w:val="true"/>
        <w:bidi w:val="0"/>
        <w:spacing w:lineRule="exact" w:line="360" w:before="0" w:after="0"/>
        <w:ind w:left="0" w:right="0" w:firstLine="709"/>
        <w:jc w:val="left"/>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numPr>
          <w:ilvl w:val="0"/>
          <w:numId w:val="6"/>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OBJETO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O presente processo licitatório tem como finalidade a realização de pregão eletrônico, o qual possui como objeto o REGISTRO DE PREÇOS para futura e eventual contratação, com fornecimento parcelado, de prestação de serviços de arbitragem, para uso da Diretoria Municipal de Esportes do Município de Lindóia do Sul, de acordo com os quantitativos estimados e durante o prazo de vigência da Ata de Registro de Preços.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O texto descritivo completo e informações pertinentes de cada item a ser licitado constam nos autos do processo licitatório em que se insere o presente Termo de Referência e estarão anexas ao Edital, constituindo parte integrante dele.</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7"/>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NATUREZA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Os itens que constituem o objeto do presente processo licitatório são classificados como serviços de natureza comum.</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8"/>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JUSTIFICATIVA PARA O PARCELAMENTO OU NÃO DA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9"/>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QUANTITATIVOS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000000"/>
          <w:spacing w:val="0"/>
          <w:sz w:val="22"/>
          <w:shd w:fill="auto" w:val="clear"/>
          <w:lang w:val="pt-BR"/>
        </w:rPr>
      </w:pPr>
      <w:r>
        <w:rPr>
          <w:rFonts w:eastAsia="Arial" w:cs="Arial" w:ascii="Arial" w:hAnsi="Arial"/>
          <w:color w:val="000000"/>
          <w:spacing w:val="0"/>
          <w:sz w:val="22"/>
          <w:shd w:fill="auto" w:val="clear"/>
          <w:lang w:val="pt-BR"/>
        </w:rPr>
        <w:t>Considerando o histórico dos quantitativos de contratações anteriores deste Órgão e a quantidade necessária para atendimento imediato, segue abaixo tabela atualizada.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000000"/>
          <w:spacing w:val="0"/>
          <w:sz w:val="22"/>
          <w:shd w:fill="auto" w:val="clear"/>
          <w:lang w:val="pt-BR"/>
        </w:rPr>
      </w:pPr>
      <w:r>
        <w:rPr>
          <w:rFonts w:eastAsia="Arial" w:cs="Arial" w:ascii="Arial" w:hAnsi="Arial"/>
          <w:color w:val="000000"/>
          <w:spacing w:val="0"/>
          <w:sz w:val="22"/>
          <w:shd w:fill="auto" w:val="clear"/>
          <w:lang w:val="pt-BR"/>
        </w:rPr>
      </w:r>
    </w:p>
    <w:tbl>
      <w:tblPr>
        <w:tblStyle w:val="3"/>
        <w:tblW w:w="9061" w:type="dxa"/>
        <w:jc w:val="left"/>
        <w:tblInd w:w="80" w:type="dxa"/>
        <w:tblLayout w:type="fixed"/>
        <w:tblCellMar>
          <w:top w:w="0" w:type="dxa"/>
          <w:left w:w="70" w:type="dxa"/>
          <w:bottom w:w="0" w:type="dxa"/>
          <w:right w:w="70" w:type="dxa"/>
        </w:tblCellMar>
      </w:tblPr>
      <w:tblGrid>
        <w:gridCol w:w="607"/>
        <w:gridCol w:w="942"/>
        <w:gridCol w:w="1007"/>
        <w:gridCol w:w="6504"/>
      </w:tblGrid>
      <w:tr>
        <w:trPr>
          <w:trHeight w:val="567" w:hRule="atLeast"/>
        </w:trPr>
        <w:tc>
          <w:tcPr>
            <w:tcW w:w="607" w:type="dxa"/>
            <w:tcBorders>
              <w:top w:val="single" w:sz="8" w:space="0" w:color="000000"/>
              <w:left w:val="single" w:sz="8" w:space="0" w:color="000000"/>
              <w:bottom w:val="single" w:sz="8" w:space="0" w:color="000000"/>
              <w:right w:val="single" w:sz="8" w:space="0" w:color="000000"/>
            </w:tcBorders>
            <w:shd w:color="000000" w:fill="969696"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ITEM</w:t>
            </w:r>
          </w:p>
        </w:tc>
        <w:tc>
          <w:tcPr>
            <w:tcW w:w="942" w:type="dxa"/>
            <w:tcBorders>
              <w:top w:val="single" w:sz="8" w:space="0" w:color="000000"/>
              <w:left w:val="single" w:sz="6" w:space="0" w:color="000000"/>
              <w:bottom w:val="single" w:sz="8" w:space="0" w:color="000000"/>
              <w:right w:val="single" w:sz="8" w:space="0" w:color="000000"/>
            </w:tcBorders>
            <w:shd w:color="000000" w:fill="969696"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QTD</w:t>
            </w:r>
          </w:p>
        </w:tc>
        <w:tc>
          <w:tcPr>
            <w:tcW w:w="1007" w:type="dxa"/>
            <w:tcBorders>
              <w:top w:val="single" w:sz="8" w:space="0" w:color="000000"/>
              <w:left w:val="single" w:sz="6" w:space="0" w:color="000000"/>
              <w:bottom w:val="single" w:sz="8" w:space="0" w:color="000000"/>
              <w:right w:val="single" w:sz="8" w:space="0" w:color="000000"/>
            </w:tcBorders>
            <w:shd w:color="000000" w:fill="969696"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UNIDADE</w:t>
            </w:r>
          </w:p>
        </w:tc>
        <w:tc>
          <w:tcPr>
            <w:tcW w:w="6504" w:type="dxa"/>
            <w:tcBorders>
              <w:top w:val="single" w:sz="8" w:space="0" w:color="000000"/>
              <w:left w:val="single" w:sz="6" w:space="0" w:color="000000"/>
              <w:bottom w:val="single" w:sz="8" w:space="0" w:color="000000"/>
              <w:right w:val="single" w:sz="8" w:space="0" w:color="000000"/>
            </w:tcBorders>
            <w:shd w:color="000000" w:fill="969696"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DESCRIÇÃO</w:t>
            </w:r>
          </w:p>
        </w:tc>
      </w:tr>
      <w:tr>
        <w:trPr>
          <w:trHeight w:val="567" w:hRule="atLeast"/>
        </w:trPr>
        <w:tc>
          <w:tcPr>
            <w:tcW w:w="607" w:type="dxa"/>
            <w:tcBorders>
              <w:top w:val="sing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1</w:t>
            </w:r>
          </w:p>
        </w:tc>
        <w:tc>
          <w:tcPr>
            <w:tcW w:w="942"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140</w:t>
            </w:r>
          </w:p>
        </w:tc>
        <w:tc>
          <w:tcPr>
            <w:tcW w:w="1007"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Un</w:t>
            </w:r>
          </w:p>
        </w:tc>
        <w:tc>
          <w:tcPr>
            <w:tcW w:w="6504"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both"/>
              <w:rPr>
                <w:spacing w:val="0"/>
                <w:shd w:fill="auto" w:val="clear"/>
              </w:rPr>
            </w:pPr>
            <w:r>
              <w:rPr>
                <w:rFonts w:eastAsia="Arial" w:cs="Arial" w:ascii="Arial" w:hAnsi="Arial"/>
                <w:color w:val="000000"/>
                <w:spacing w:val="0"/>
                <w:sz w:val="18"/>
                <w:shd w:fill="auto" w:val="clear"/>
              </w:rPr>
              <w:t>Serviço de arbitragem para o Campeonato Municipal de Futsal</w:t>
            </w:r>
          </w:p>
        </w:tc>
      </w:tr>
      <w:tr>
        <w:trPr>
          <w:trHeight w:val="567" w:hRule="atLeast"/>
        </w:trPr>
        <w:tc>
          <w:tcPr>
            <w:tcW w:w="607" w:type="dxa"/>
            <w:tcBorders>
              <w:top w:val="sing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rPr>
            </w:pPr>
            <w:r>
              <w:rPr>
                <w:rFonts w:eastAsia="Arial" w:cs="Arial" w:ascii="Arial" w:hAnsi="Arial"/>
                <w:b/>
                <w:color w:val="000000"/>
                <w:spacing w:val="0"/>
                <w:sz w:val="18"/>
                <w:shd w:fill="auto" w:val="clear"/>
              </w:rPr>
              <w:t>2</w:t>
            </w:r>
          </w:p>
        </w:tc>
        <w:tc>
          <w:tcPr>
            <w:tcW w:w="942"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80</w:t>
            </w:r>
          </w:p>
        </w:tc>
        <w:tc>
          <w:tcPr>
            <w:tcW w:w="1007"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Un</w:t>
            </w:r>
          </w:p>
        </w:tc>
        <w:tc>
          <w:tcPr>
            <w:tcW w:w="6504"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both"/>
              <w:rPr>
                <w:spacing w:val="0"/>
                <w:shd w:fill="auto" w:val="clear"/>
              </w:rPr>
            </w:pPr>
            <w:r>
              <w:rPr>
                <w:rFonts w:eastAsia="Arial" w:cs="Arial" w:ascii="Arial" w:hAnsi="Arial"/>
                <w:color w:val="000000"/>
                <w:spacing w:val="0"/>
                <w:sz w:val="18"/>
                <w:shd w:fill="auto" w:val="clear"/>
              </w:rPr>
              <w:t>Serviço de arbitragem para o Campeonato Municipal de Futebol</w:t>
            </w:r>
          </w:p>
        </w:tc>
      </w:tr>
      <w:tr>
        <w:trPr>
          <w:trHeight w:val="567" w:hRule="atLeast"/>
        </w:trPr>
        <w:tc>
          <w:tcPr>
            <w:tcW w:w="60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rPr>
            </w:pPr>
            <w:r>
              <w:rPr>
                <w:rFonts w:eastAsia="Arial" w:cs="Arial" w:ascii="Arial" w:hAnsi="Arial"/>
                <w:b/>
                <w:color w:val="000000"/>
                <w:spacing w:val="0"/>
                <w:sz w:val="18"/>
                <w:shd w:fill="auto" w:val="clear"/>
              </w:rPr>
              <w:t>3</w:t>
            </w:r>
          </w:p>
        </w:tc>
        <w:tc>
          <w:tcPr>
            <w:tcW w:w="942" w:type="dxa"/>
            <w:tcBorders>
              <w:top w:val="single" w:sz="8"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80</w:t>
            </w:r>
          </w:p>
        </w:tc>
        <w:tc>
          <w:tcPr>
            <w:tcW w:w="1007" w:type="dxa"/>
            <w:tcBorders>
              <w:top w:val="single" w:sz="8"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Un</w:t>
            </w:r>
          </w:p>
        </w:tc>
        <w:tc>
          <w:tcPr>
            <w:tcW w:w="6504" w:type="dxa"/>
            <w:tcBorders>
              <w:top w:val="single" w:sz="8"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both"/>
              <w:rPr>
                <w:spacing w:val="0"/>
                <w:shd w:fill="auto" w:val="clear"/>
              </w:rPr>
            </w:pPr>
            <w:r>
              <w:rPr>
                <w:rFonts w:eastAsia="Arial" w:cs="Arial" w:ascii="Arial" w:hAnsi="Arial"/>
                <w:color w:val="000000"/>
                <w:spacing w:val="0"/>
                <w:sz w:val="18"/>
                <w:shd w:fill="auto" w:val="clear"/>
              </w:rPr>
              <w:t>Serviço de arbitragem para o Campeonato Municipal de Futebol Sete</w:t>
            </w:r>
          </w:p>
        </w:tc>
      </w:tr>
      <w:tr>
        <w:trPr>
          <w:trHeight w:val="567" w:hRule="atLeast"/>
        </w:trPr>
        <w:tc>
          <w:tcPr>
            <w:tcW w:w="607" w:type="dxa"/>
            <w:tcBorders>
              <w:top w:val="sing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b/>
                <w:color w:val="000000"/>
                <w:spacing w:val="0"/>
                <w:sz w:val="18"/>
                <w:shd w:fill="auto" w:val="clear"/>
              </w:rPr>
              <w:t>4</w:t>
            </w:r>
          </w:p>
        </w:tc>
        <w:tc>
          <w:tcPr>
            <w:tcW w:w="942"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40</w:t>
            </w:r>
          </w:p>
        </w:tc>
        <w:tc>
          <w:tcPr>
            <w:tcW w:w="1007"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suppressAutoHyphens w:val="true"/>
              <w:bidi w:val="0"/>
              <w:spacing w:lineRule="exact" w:line="240" w:before="0" w:after="0"/>
              <w:ind w:left="0" w:right="0" w:hanging="0"/>
              <w:jc w:val="center"/>
              <w:rPr>
                <w:spacing w:val="0"/>
                <w:shd w:fill="auto" w:val="clear"/>
              </w:rPr>
            </w:pPr>
            <w:r>
              <w:rPr>
                <w:rFonts w:eastAsia="Arial" w:cs="Arial" w:ascii="Arial" w:hAnsi="Arial"/>
                <w:color w:val="000000"/>
                <w:spacing w:val="0"/>
                <w:sz w:val="18"/>
                <w:shd w:fill="auto" w:val="clear"/>
              </w:rPr>
              <w:t>Un</w:t>
            </w:r>
          </w:p>
        </w:tc>
        <w:tc>
          <w:tcPr>
            <w:tcW w:w="6504" w:type="dxa"/>
            <w:tcBorders>
              <w:top w:val="single" w:sz="6" w:space="0" w:color="000000"/>
              <w:left w:val="single" w:sz="6" w:space="0" w:color="000000"/>
              <w:bottom w:val="single" w:sz="8" w:space="0" w:color="000000"/>
              <w:right w:val="single" w:sz="8" w:space="0" w:color="000000"/>
            </w:tcBorders>
            <w:shd w:color="auto" w:fill="auto" w:val="clear"/>
            <w:vAlign w:val="center"/>
          </w:tcPr>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sz w:val="18"/>
                <w:szCs w:val="18"/>
              </w:rPr>
            </w:pPr>
            <w:r>
              <w:rPr>
                <w:rFonts w:eastAsia="Arial" w:cs="Arial" w:ascii="Arial" w:hAnsi="Arial"/>
                <w:color w:val="000000"/>
                <w:spacing w:val="0"/>
                <w:sz w:val="18"/>
                <w:szCs w:val="18"/>
                <w:shd w:fill="auto" w:val="clear"/>
              </w:rPr>
              <w:t>Diárias de arbitragem (Futsal, Futebol, Futebol Suiço, Futevôlei, Voleibol, Volêi de Areia, Bocha, Bolão)</w:t>
            </w:r>
          </w:p>
        </w:tc>
      </w:tr>
    </w:tbl>
    <w:p>
      <w:pPr>
        <w:pStyle w:val="Normal"/>
        <w:widowControl w:val="false"/>
        <w:tabs>
          <w:tab w:val="left" w:pos="709" w:leader="none"/>
          <w:tab w:val="left" w:pos="2340" w:leader="none"/>
          <w:tab w:val="left" w:pos="4464" w:leader="none"/>
        </w:tabs>
        <w:suppressAutoHyphens w:val="true"/>
        <w:bidi w:val="0"/>
        <w:spacing w:lineRule="exact" w:line="240" w:before="0" w:after="0"/>
        <w:ind w:left="0"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t>* Tratando-se de Sistema de Registro de Preços, os quantitativos acima discriminados não obrigam a contratação pela administração pública, nos termos do art. 83 da Lei Federal n. 14.133/2021.</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FF0000" w:val="clear"/>
        </w:rPr>
      </w:pPr>
      <w:r>
        <w:rPr>
          <w:rFonts w:eastAsia="Arial" w:cs="Arial" w:ascii="Arial" w:hAnsi="Arial"/>
          <w:b/>
          <w:color w:val="000000"/>
          <w:spacing w:val="0"/>
          <w:sz w:val="22"/>
          <w:shd w:fill="FF0000"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center"/>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numPr>
          <w:ilvl w:val="0"/>
          <w:numId w:val="10"/>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PRAZO DE VIGÊNCIA DA ATA DE REGISTRO DE PREÇOS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O prazo de vigência da ata de registro de preços será de 1 (um) ano e poderá ser prorrogado por igual período, desde que comprovado o preço vantajoso, nos termos do art. 84, </w:t>
      </w:r>
      <w:r>
        <w:rPr>
          <w:rFonts w:eastAsia="Arial" w:cs="Arial" w:ascii="Arial" w:hAnsi="Arial"/>
          <w:i/>
          <w:color w:val="000000"/>
          <w:spacing w:val="0"/>
          <w:sz w:val="22"/>
          <w:shd w:fill="auto" w:val="clear"/>
        </w:rPr>
        <w:t>caput</w:t>
      </w:r>
      <w:r>
        <w:rPr>
          <w:rFonts w:eastAsia="Arial" w:cs="Arial" w:ascii="Arial" w:hAnsi="Arial"/>
          <w:color w:val="000000"/>
          <w:spacing w:val="0"/>
          <w:sz w:val="22"/>
          <w:shd w:fill="auto" w:val="clear"/>
        </w:rPr>
        <w:t xml:space="preserve">, da Lei Federal n. 14.133/2021.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Em caso de prorrogação da vigência da ata de registro de preços, as quantidades inicialmente registradas serão renovadas na sua totalidade, independentemente do quantitativo utilizado no período de vigência, não sendo possível cumular com as quantidades não utilizadas, conforme previsto no decreto regulamentador do município.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1"/>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ESPECIFICAÇÃO DOS PRODUTOS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t>A especificação dos produtos requerida pelo art. 40, § 1º, inciso I, da Lei Federal n. 14.133/2021 está estabelecida nos descritivos dos itens e no presente Termo de Referência, observados requisitos de qualidade, rendimento e durabilidade.</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000000"/>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2"/>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DESCRIÇÃO DA SOLUÇÃO COMO UM TODO</w:t>
      </w:r>
    </w:p>
    <w:p>
      <w:pPr>
        <w:pStyle w:val="Normal"/>
        <w:widowControl w:val="false"/>
        <w:suppressAutoHyphens w:val="true"/>
        <w:bidi w:val="0"/>
        <w:spacing w:lineRule="exact" w:line="360" w:before="0" w:after="0"/>
        <w:ind w:left="0" w:right="0" w:hanging="0"/>
        <w:jc w:val="left"/>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A Lei Federal n. 14.133/2021 traz ainda em seu texto legal, como um de seus objetivos, a análise de solução/contratação mais vantajosa para compras públicas, de modo particular na fase preparatória do processo licitatório, conforme dispõem o art. 11, inciso I, e o art. 18, inciso VIII, ambos do referido texto legal: </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t xml:space="preserve">Art. 11. O processo licitatório tem por objetivos: </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t>I - Assegurar a seleção da proposta apta a gerar o resultado de contratação mais vantajoso para a Administração Pública, inclusive no que se refere ao ciclo de vida do objeto;</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auto"/>
          <w:spacing w:val="0"/>
          <w:sz w:val="18"/>
          <w:shd w:fill="auto" w:val="clear"/>
        </w:rPr>
      </w:pPr>
      <w:r>
        <w:rPr>
          <w:rFonts w:eastAsia="Arial" w:cs="Arial" w:ascii="Arial" w:hAnsi="Arial"/>
          <w:color w:val="000000"/>
          <w:spacing w:val="0"/>
          <w:sz w:val="18"/>
          <w:shd w:fill="auto" w:val="clear"/>
        </w:rPr>
        <w:t>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 [...]</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000000"/>
          <w:spacing w:val="0"/>
          <w:sz w:val="18"/>
          <w:shd w:fill="auto" w:val="clear"/>
        </w:rPr>
      </w:pPr>
      <w:r>
        <w:rPr>
          <w:rFonts w:eastAsia="Arial" w:cs="Arial" w:ascii="Arial" w:hAnsi="Arial"/>
          <w:color w:val="000000"/>
          <w:spacing w:val="0"/>
          <w:sz w:val="18"/>
          <w:shd w:fill="auto" w:val="clear"/>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pPr>
        <w:pStyle w:val="Normal"/>
        <w:widowControl w:val="false"/>
        <w:tabs>
          <w:tab w:val="left" w:pos="709" w:leader="none"/>
          <w:tab w:val="left" w:pos="2340" w:leader="none"/>
          <w:tab w:val="left" w:pos="4464" w:leader="none"/>
        </w:tabs>
        <w:suppressAutoHyphens w:val="true"/>
        <w:bidi w:val="0"/>
        <w:spacing w:lineRule="exact" w:line="240" w:before="0" w:after="0"/>
        <w:ind w:left="2268" w:right="0" w:hanging="0"/>
        <w:jc w:val="both"/>
        <w:rPr>
          <w:rFonts w:ascii="Arial" w:hAnsi="Arial" w:eastAsia="Arial" w:cs="Arial"/>
          <w:color w:val="000000"/>
          <w:spacing w:val="0"/>
          <w:sz w:val="18"/>
          <w:shd w:fill="auto" w:val="clear"/>
        </w:rPr>
      </w:pPr>
      <w:r>
        <w:rPr>
          <w:rFonts w:eastAsia="Arial" w:cs="Arial" w:ascii="Arial" w:hAnsi="Arial"/>
          <w:color w:val="000000"/>
          <w:spacing w:val="0"/>
          <w:sz w:val="18"/>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lang w:val="pt-BR"/>
        </w:rPr>
      </w:pPr>
      <w:r>
        <w:rPr>
          <w:rFonts w:eastAsia="Arial" w:cs="Arial" w:ascii="Arial" w:hAnsi="Arial"/>
          <w:color w:val="000000"/>
          <w:spacing w:val="0"/>
          <w:sz w:val="22"/>
          <w:shd w:fill="auto" w:val="clear"/>
          <w:lang w:val="pt-BR"/>
        </w:rPr>
        <w:t>Após análise, necessita-se a contratação dos serviços especificados para atender as demandas da Diretoria Municipal de Esportes, espera-se que a empresa cumpra com os deveres, assegurando a segurança de todos os atletas envolvidos, sendo sempre imparcial nas decisões quantos aos resultados dos jogos.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3"/>
        </w:numPr>
        <w:tabs>
          <w:tab w:val="left" w:pos="709" w:leader="none"/>
          <w:tab w:val="left" w:pos="2340" w:leader="none"/>
          <w:tab w:val="left" w:pos="4464" w:leader="none"/>
        </w:tabs>
        <w:suppressAutoHyphens w:val="true"/>
        <w:bidi w:val="0"/>
        <w:spacing w:lineRule="exact" w:line="360" w:before="0" w:after="0"/>
        <w:ind w:left="709" w:right="0" w:hanging="709"/>
        <w:jc w:val="both"/>
        <w:rPr>
          <w:rFonts w:ascii="Arial" w:hAnsi="Arial" w:eastAsia="Arial" w:cs="Arial"/>
          <w:color w:val="auto"/>
          <w:spacing w:val="0"/>
          <w:sz w:val="24"/>
          <w:shd w:fill="auto" w:val="clear"/>
        </w:rPr>
      </w:pPr>
      <w:r>
        <w:rPr>
          <w:rFonts w:eastAsia="Arial" w:cs="Arial" w:ascii="Arial" w:hAnsi="Arial"/>
          <w:b/>
          <w:color w:val="000000"/>
          <w:spacing w:val="0"/>
          <w:sz w:val="24"/>
          <w:shd w:fill="auto" w:val="clear"/>
        </w:rPr>
        <w:t>REQUISITOS DA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Poderão participar desta licitação todas e quaisquer empresas ou sociedades, regularmente estabelecidas no País – 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 contratação pressupõe o pleno conhecimento e atendimento às exigências de habilitação e execução do contrato a ser formulado e os requisitos para a contratação constam também do próprio descritivo dos itens a serem licitados e nos descritivos dos itens presentes nos autos deste processo licitatório.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É necessário manter as condições de habilitação exigidas na licitação e comprovar a regularidade fiscal e trabalhista junto ao Órgão Gerenciador.</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b/>
          <w:b/>
          <w:color w:val="auto"/>
          <w:spacing w:val="0"/>
          <w:sz w:val="22"/>
          <w:shd w:fill="auto" w:val="clear"/>
        </w:rPr>
      </w:pPr>
      <w:r>
        <w:rPr>
          <w:rFonts w:eastAsia="Arial" w:cs="Arial" w:ascii="Arial" w:hAnsi="Arial"/>
          <w:b/>
          <w:color w:val="000000"/>
          <w:spacing w:val="0"/>
          <w:sz w:val="22"/>
          <w:shd w:fill="auto" w:val="clear"/>
        </w:rPr>
      </w:r>
    </w:p>
    <w:p>
      <w:pPr>
        <w:pStyle w:val="Normal"/>
        <w:widowControl w:val="false"/>
        <w:numPr>
          <w:ilvl w:val="0"/>
          <w:numId w:val="14"/>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ATENDIMENTO ÀS NORMAS TÉCNICAS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Como requisito para a contratação, os itens licitados devem atender às legislações e normas técnicas.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5"/>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ESTIMATIVA DO VALOR DA CONTRATAÇÃO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O valor da contratação fora estimado a partir dos quantitativos já expostos no corpo deste Termo de Referência e da pesquisa de preços realizada nos termos do art. 23, </w:t>
      </w:r>
      <w:r>
        <w:rPr>
          <w:rFonts w:eastAsia="Arial" w:cs="Arial" w:ascii="Arial" w:hAnsi="Arial"/>
          <w:i/>
          <w:color w:val="000000"/>
          <w:spacing w:val="0"/>
          <w:sz w:val="22"/>
          <w:shd w:fill="auto" w:val="clear"/>
        </w:rPr>
        <w:t>caput</w:t>
      </w:r>
      <w:r>
        <w:rPr>
          <w:rFonts w:eastAsia="Arial" w:cs="Arial" w:ascii="Arial" w:hAnsi="Arial"/>
          <w:color w:val="000000"/>
          <w:spacing w:val="0"/>
          <w:sz w:val="22"/>
          <w:shd w:fill="auto" w:val="clear"/>
        </w:rPr>
        <w:t xml:space="preserve"> e § 1º, da Lei Federal n. 14.133/2021, e segue conforme tabela abaixo.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tbl>
      <w:tblPr>
        <w:tblStyle w:val="3"/>
        <w:tblW w:w="10995" w:type="dxa"/>
        <w:jc w:val="left"/>
        <w:tblInd w:w="-1001" w:type="dxa"/>
        <w:tblLayout w:type="fixed"/>
        <w:tblCellMar>
          <w:top w:w="55" w:type="dxa"/>
          <w:left w:w="55" w:type="dxa"/>
          <w:bottom w:w="55" w:type="dxa"/>
          <w:right w:w="55" w:type="dxa"/>
        </w:tblCellMar>
      </w:tblPr>
      <w:tblGrid>
        <w:gridCol w:w="900"/>
        <w:gridCol w:w="4754"/>
        <w:gridCol w:w="975"/>
        <w:gridCol w:w="1471"/>
        <w:gridCol w:w="1634"/>
        <w:gridCol w:w="1260"/>
      </w:tblGrid>
      <w:tr>
        <w:trPr/>
        <w:tc>
          <w:tcPr>
            <w:tcW w:w="900" w:type="dxa"/>
            <w:tcBorders>
              <w:top w:val="single" w:sz="4" w:space="0" w:color="000000"/>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Item</w:t>
            </w:r>
          </w:p>
        </w:tc>
        <w:tc>
          <w:tcPr>
            <w:tcW w:w="4754" w:type="dxa"/>
            <w:tcBorders>
              <w:top w:val="single" w:sz="4" w:space="0" w:color="000000"/>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Descrição</w:t>
            </w:r>
          </w:p>
        </w:tc>
        <w:tc>
          <w:tcPr>
            <w:tcW w:w="975" w:type="dxa"/>
            <w:tcBorders>
              <w:top w:val="single" w:sz="4" w:space="0" w:color="000000"/>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Unidade</w:t>
            </w:r>
          </w:p>
        </w:tc>
        <w:tc>
          <w:tcPr>
            <w:tcW w:w="1471" w:type="dxa"/>
            <w:tcBorders>
              <w:top w:val="single" w:sz="4" w:space="0" w:color="000000"/>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Quantidade</w:t>
            </w:r>
          </w:p>
        </w:tc>
        <w:tc>
          <w:tcPr>
            <w:tcW w:w="1634" w:type="dxa"/>
            <w:tcBorders>
              <w:top w:val="single" w:sz="4" w:space="0" w:color="000000"/>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Valor Unitário</w:t>
            </w:r>
          </w:p>
        </w:tc>
        <w:tc>
          <w:tcPr>
            <w:tcW w:w="1260" w:type="dxa"/>
            <w:tcBorders>
              <w:top w:val="single" w:sz="4" w:space="0" w:color="000000"/>
              <w:left w:val="single" w:sz="4" w:space="0" w:color="000000"/>
              <w:bottom w:val="single" w:sz="4" w:space="0" w:color="000000"/>
              <w:right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Valor Total</w:t>
            </w:r>
          </w:p>
        </w:tc>
      </w:tr>
      <w:tr>
        <w:trPr/>
        <w:tc>
          <w:tcPr>
            <w:tcW w:w="900" w:type="dxa"/>
            <w:tcBorders>
              <w:left w:val="single" w:sz="4" w:space="0" w:color="000000"/>
              <w:bottom w:val="single" w:sz="4" w:space="0" w:color="000000"/>
            </w:tcBorders>
          </w:tcPr>
          <w:p>
            <w:pPr>
              <w:pStyle w:val="Contedodatabela"/>
              <w:widowControl w:val="false"/>
              <w:spacing w:before="0" w:after="0"/>
              <w:jc w:val="center"/>
              <w:rPr>
                <w:rFonts w:ascii="Arial" w:hAnsi="Arial"/>
                <w:b/>
                <w:b/>
                <w:bCs/>
              </w:rPr>
            </w:pPr>
            <w:r>
              <w:rPr>
                <w:rFonts w:eastAsia="NSimSun" w:cs="Arial" w:ascii="Arial" w:hAnsi="Arial"/>
                <w:b/>
                <w:bCs/>
                <w:kern w:val="0"/>
                <w:sz w:val="20"/>
                <w:szCs w:val="20"/>
              </w:rPr>
              <w:t>1</w:t>
            </w:r>
          </w:p>
        </w:tc>
        <w:tc>
          <w:tcPr>
            <w:tcW w:w="4754" w:type="dxa"/>
            <w:tcBorders>
              <w:left w:val="single" w:sz="4" w:space="0" w:color="000000"/>
              <w:bottom w:val="single" w:sz="4" w:space="0" w:color="000000"/>
            </w:tcBorders>
          </w:tcPr>
          <w:p>
            <w:pPr>
              <w:pStyle w:val="TableParagraph"/>
              <w:widowControl w:val="false"/>
              <w:spacing w:lineRule="auto" w:line="288" w:before="27" w:after="0"/>
              <w:ind w:left="86" w:right="139" w:hanging="0"/>
              <w:jc w:val="both"/>
              <w:rPr>
                <w:rFonts w:ascii="Arial" w:hAnsi="Arial"/>
                <w:sz w:val="20"/>
                <w:szCs w:val="20"/>
              </w:rPr>
            </w:pPr>
            <w:r>
              <w:rPr>
                <w:rFonts w:ascii="Arial" w:hAnsi="Arial"/>
                <w:sz w:val="20"/>
                <w:szCs w:val="20"/>
              </w:rPr>
              <w:t xml:space="preserve">Prestação de serviço de arbitragem </w:t>
            </w:r>
            <w:r>
              <w:rPr>
                <w:rFonts w:ascii="Arial" w:hAnsi="Arial"/>
                <w:b/>
                <w:bCs/>
                <w:sz w:val="20"/>
                <w:szCs w:val="20"/>
              </w:rPr>
              <w:t>Campeonato Municipal</w:t>
            </w:r>
            <w:r>
              <w:rPr>
                <w:rFonts w:ascii="Arial" w:hAnsi="Arial"/>
                <w:b/>
                <w:bCs/>
                <w:spacing w:val="1"/>
                <w:sz w:val="20"/>
                <w:szCs w:val="20"/>
              </w:rPr>
              <w:t xml:space="preserve"> de Futsal Adulto, Masculino, Feminino e Veteranos</w:t>
            </w:r>
            <w:r>
              <w:rPr>
                <w:rFonts w:ascii="Arial" w:hAnsi="Arial"/>
                <w:b w:val="false"/>
                <w:bCs w:val="false"/>
                <w:spacing w:val="1"/>
                <w:sz w:val="20"/>
                <w:szCs w:val="20"/>
              </w:rPr>
              <w:t xml:space="preserve"> </w:t>
            </w:r>
            <w:r>
              <w:rPr>
                <w:rFonts w:ascii="Arial" w:hAnsi="Arial"/>
                <w:sz w:val="20"/>
                <w:szCs w:val="20"/>
              </w:rPr>
              <w:t>conforme tabela a</w:t>
            </w:r>
            <w:r>
              <w:rPr>
                <w:rFonts w:ascii="Arial" w:hAnsi="Arial"/>
                <w:spacing w:val="1"/>
                <w:sz w:val="20"/>
                <w:szCs w:val="20"/>
              </w:rPr>
              <w:t xml:space="preserve"> </w:t>
            </w:r>
            <w:r>
              <w:rPr>
                <w:rFonts w:ascii="Arial" w:hAnsi="Arial"/>
                <w:sz w:val="20"/>
                <w:szCs w:val="20"/>
              </w:rPr>
              <w:t>ser</w:t>
            </w:r>
            <w:r>
              <w:rPr>
                <w:rFonts w:ascii="Arial" w:hAnsi="Arial"/>
                <w:spacing w:val="1"/>
                <w:sz w:val="20"/>
                <w:szCs w:val="20"/>
              </w:rPr>
              <w:t xml:space="preserve"> </w:t>
            </w:r>
            <w:r>
              <w:rPr>
                <w:rFonts w:ascii="Arial" w:hAnsi="Arial"/>
                <w:sz w:val="20"/>
                <w:szCs w:val="20"/>
              </w:rPr>
              <w:t>elaborada</w:t>
            </w:r>
            <w:r>
              <w:rPr>
                <w:rFonts w:ascii="Arial" w:hAnsi="Arial"/>
                <w:spacing w:val="1"/>
                <w:sz w:val="20"/>
                <w:szCs w:val="20"/>
              </w:rPr>
              <w:t xml:space="preserve"> </w:t>
            </w:r>
            <w:r>
              <w:rPr>
                <w:rFonts w:ascii="Arial" w:hAnsi="Arial"/>
                <w:sz w:val="20"/>
                <w:szCs w:val="20"/>
              </w:rPr>
              <w:t>pela</w:t>
            </w:r>
            <w:r>
              <w:rPr>
                <w:rFonts w:ascii="Arial" w:hAnsi="Arial"/>
                <w:spacing w:val="1"/>
                <w:sz w:val="20"/>
                <w:szCs w:val="20"/>
              </w:rPr>
              <w:t xml:space="preserve"> Diretoria Municipal de </w:t>
            </w:r>
            <w:r>
              <w:rPr>
                <w:rFonts w:ascii="Arial" w:hAnsi="Arial"/>
                <w:sz w:val="20"/>
                <w:szCs w:val="20"/>
              </w:rPr>
              <w:t>Esportes, confecção de súmula, equipe com dois</w:t>
            </w:r>
            <w:r>
              <w:rPr>
                <w:rFonts w:ascii="Arial" w:hAnsi="Arial"/>
                <w:spacing w:val="1"/>
                <w:sz w:val="20"/>
                <w:szCs w:val="20"/>
              </w:rPr>
              <w:t xml:space="preserve"> </w:t>
            </w:r>
            <w:r>
              <w:rPr>
                <w:rFonts w:ascii="Arial" w:hAnsi="Arial"/>
                <w:spacing w:val="-1"/>
                <w:sz w:val="20"/>
                <w:szCs w:val="20"/>
              </w:rPr>
              <w:t>árbitros</w:t>
            </w:r>
            <w:r>
              <w:rPr>
                <w:rFonts w:ascii="Arial" w:hAnsi="Arial"/>
                <w:spacing w:val="-7"/>
                <w:sz w:val="20"/>
                <w:szCs w:val="20"/>
              </w:rPr>
              <w:t xml:space="preserve"> </w:t>
            </w:r>
            <w:r>
              <w:rPr>
                <w:rFonts w:ascii="Arial" w:hAnsi="Arial"/>
                <w:sz w:val="20"/>
                <w:szCs w:val="20"/>
              </w:rPr>
              <w:t>e</w:t>
            </w:r>
            <w:r>
              <w:rPr>
                <w:rFonts w:ascii="Arial" w:hAnsi="Arial"/>
                <w:spacing w:val="-8"/>
                <w:sz w:val="20"/>
                <w:szCs w:val="20"/>
              </w:rPr>
              <w:t xml:space="preserve"> </w:t>
            </w:r>
            <w:r>
              <w:rPr>
                <w:rFonts w:ascii="Arial" w:hAnsi="Arial"/>
                <w:sz w:val="20"/>
                <w:szCs w:val="20"/>
              </w:rPr>
              <w:t>um</w:t>
            </w:r>
            <w:r>
              <w:rPr>
                <w:rFonts w:ascii="Arial" w:hAnsi="Arial"/>
                <w:spacing w:val="-9"/>
                <w:sz w:val="20"/>
                <w:szCs w:val="20"/>
              </w:rPr>
              <w:t xml:space="preserve"> </w:t>
            </w:r>
            <w:r>
              <w:rPr>
                <w:rFonts w:ascii="Arial" w:hAnsi="Arial"/>
                <w:sz w:val="20"/>
                <w:szCs w:val="20"/>
              </w:rPr>
              <w:t>membro</w:t>
            </w:r>
            <w:r>
              <w:rPr>
                <w:rFonts w:ascii="Arial" w:hAnsi="Arial"/>
                <w:spacing w:val="-10"/>
                <w:sz w:val="20"/>
                <w:szCs w:val="20"/>
              </w:rPr>
              <w:t xml:space="preserve"> </w:t>
            </w:r>
            <w:r>
              <w:rPr>
                <w:rFonts w:ascii="Arial" w:hAnsi="Arial"/>
                <w:sz w:val="20"/>
                <w:szCs w:val="20"/>
              </w:rPr>
              <w:t>como</w:t>
            </w:r>
            <w:r>
              <w:rPr>
                <w:rFonts w:ascii="Arial" w:hAnsi="Arial"/>
                <w:spacing w:val="-10"/>
                <w:sz w:val="20"/>
                <w:szCs w:val="20"/>
              </w:rPr>
              <w:t xml:space="preserve"> </w:t>
            </w:r>
            <w:r>
              <w:rPr>
                <w:rFonts w:ascii="Arial" w:hAnsi="Arial"/>
                <w:sz w:val="20"/>
                <w:szCs w:val="20"/>
              </w:rPr>
              <w:t>anotador</w:t>
            </w:r>
            <w:r>
              <w:rPr>
                <w:rFonts w:ascii="Arial" w:hAnsi="Arial"/>
                <w:spacing w:val="-8"/>
                <w:sz w:val="20"/>
                <w:szCs w:val="20"/>
              </w:rPr>
              <w:t xml:space="preserve"> </w:t>
            </w:r>
            <w:r>
              <w:rPr>
                <w:rFonts w:ascii="Arial" w:hAnsi="Arial"/>
                <w:sz w:val="20"/>
                <w:szCs w:val="20"/>
              </w:rPr>
              <w:t>e</w:t>
            </w:r>
            <w:r>
              <w:rPr>
                <w:rFonts w:ascii="Arial" w:hAnsi="Arial"/>
                <w:spacing w:val="-7"/>
                <w:sz w:val="20"/>
                <w:szCs w:val="20"/>
              </w:rPr>
              <w:t xml:space="preserve"> </w:t>
            </w:r>
            <w:r>
              <w:rPr>
                <w:rFonts w:ascii="Arial" w:hAnsi="Arial"/>
                <w:sz w:val="20"/>
                <w:szCs w:val="20"/>
              </w:rPr>
              <w:t>cronometrista.</w:t>
            </w:r>
            <w:r>
              <w:rPr>
                <w:rFonts w:ascii="Arial" w:hAnsi="Arial"/>
                <w:spacing w:val="-9"/>
                <w:sz w:val="20"/>
                <w:szCs w:val="20"/>
              </w:rPr>
              <w:t xml:space="preserve"> </w:t>
            </w:r>
            <w:r>
              <w:rPr>
                <w:rFonts w:ascii="Arial" w:hAnsi="Arial"/>
                <w:sz w:val="20"/>
                <w:szCs w:val="20"/>
              </w:rPr>
              <w:t>Fazer</w:t>
            </w:r>
            <w:r>
              <w:rPr>
                <w:rFonts w:ascii="Arial" w:hAnsi="Arial"/>
                <w:spacing w:val="-42"/>
                <w:sz w:val="20"/>
                <w:szCs w:val="20"/>
              </w:rPr>
              <w:t xml:space="preserve"> </w:t>
            </w:r>
            <w:r>
              <w:rPr>
                <w:rFonts w:ascii="Arial" w:hAnsi="Arial"/>
                <w:sz w:val="20"/>
                <w:szCs w:val="20"/>
              </w:rPr>
              <w:t>os controles de Pontos, cruzamento, classificação, cartões,</w:t>
            </w:r>
            <w:r>
              <w:rPr>
                <w:rFonts w:ascii="Arial" w:hAnsi="Arial"/>
                <w:spacing w:val="1"/>
                <w:sz w:val="20"/>
                <w:szCs w:val="20"/>
              </w:rPr>
              <w:t xml:space="preserve"> </w:t>
            </w:r>
            <w:r>
              <w:rPr>
                <w:rFonts w:ascii="Arial" w:hAnsi="Arial"/>
                <w:sz w:val="20"/>
                <w:szCs w:val="20"/>
              </w:rPr>
              <w:t>goleador, defesa menos vazada e equipe mais disciplinada,</w:t>
            </w:r>
            <w:r>
              <w:rPr>
                <w:rFonts w:ascii="Arial" w:hAnsi="Arial"/>
                <w:spacing w:val="-42"/>
                <w:sz w:val="20"/>
                <w:szCs w:val="20"/>
              </w:rPr>
              <w:t xml:space="preserve"> </w:t>
            </w:r>
            <w:r>
              <w:rPr>
                <w:rFonts w:ascii="Arial" w:hAnsi="Arial"/>
                <w:sz w:val="20"/>
                <w:szCs w:val="20"/>
              </w:rPr>
              <w:t>através de site ou aplicativo modo público, devendo ser</w:t>
            </w:r>
            <w:r>
              <w:rPr>
                <w:rFonts w:ascii="Arial" w:hAnsi="Arial"/>
                <w:spacing w:val="1"/>
                <w:sz w:val="20"/>
                <w:szCs w:val="20"/>
              </w:rPr>
              <w:t xml:space="preserve"> </w:t>
            </w:r>
            <w:r>
              <w:rPr>
                <w:rFonts w:ascii="Arial" w:hAnsi="Arial"/>
                <w:sz w:val="20"/>
                <w:szCs w:val="20"/>
              </w:rPr>
              <w:t>atualizado com no máximo 48 horas após realização da</w:t>
            </w:r>
            <w:r>
              <w:rPr>
                <w:rFonts w:ascii="Arial" w:hAnsi="Arial"/>
                <w:spacing w:val="1"/>
                <w:sz w:val="20"/>
                <w:szCs w:val="20"/>
              </w:rPr>
              <w:t xml:space="preserve"> </w:t>
            </w:r>
            <w:r>
              <w:rPr>
                <w:rFonts w:ascii="Arial" w:hAnsi="Arial"/>
                <w:sz w:val="20"/>
                <w:szCs w:val="20"/>
              </w:rPr>
              <w:t>partida,</w:t>
            </w:r>
            <w:r>
              <w:rPr>
                <w:rFonts w:ascii="Arial" w:hAnsi="Arial"/>
                <w:spacing w:val="1"/>
                <w:sz w:val="20"/>
                <w:szCs w:val="20"/>
              </w:rPr>
              <w:t xml:space="preserve"> </w:t>
            </w:r>
            <w:r>
              <w:rPr>
                <w:rFonts w:ascii="Arial" w:hAnsi="Arial"/>
                <w:sz w:val="20"/>
                <w:szCs w:val="20"/>
              </w:rPr>
              <w:t>repassar</w:t>
            </w:r>
            <w:r>
              <w:rPr>
                <w:rFonts w:ascii="Arial" w:hAnsi="Arial"/>
                <w:spacing w:val="1"/>
                <w:sz w:val="20"/>
                <w:szCs w:val="20"/>
              </w:rPr>
              <w:t xml:space="preserve"> </w:t>
            </w:r>
            <w:r>
              <w:rPr>
                <w:rFonts w:ascii="Arial" w:hAnsi="Arial"/>
                <w:sz w:val="20"/>
                <w:szCs w:val="20"/>
              </w:rPr>
              <w:t>relatórios após cada rodada, comissão</w:t>
            </w:r>
            <w:r>
              <w:rPr>
                <w:rFonts w:ascii="Arial" w:hAnsi="Arial"/>
                <w:spacing w:val="1"/>
                <w:sz w:val="20"/>
                <w:szCs w:val="20"/>
              </w:rPr>
              <w:t xml:space="preserve"> </w:t>
            </w:r>
            <w:r>
              <w:rPr>
                <w:rFonts w:ascii="Arial" w:hAnsi="Arial"/>
                <w:spacing w:val="-1"/>
                <w:sz w:val="20"/>
                <w:szCs w:val="20"/>
              </w:rPr>
              <w:t>disciplinar</w:t>
            </w:r>
            <w:r>
              <w:rPr>
                <w:rFonts w:ascii="Arial" w:hAnsi="Arial"/>
                <w:spacing w:val="-10"/>
                <w:sz w:val="20"/>
                <w:szCs w:val="20"/>
              </w:rPr>
              <w:t xml:space="preserve"> </w:t>
            </w:r>
            <w:r>
              <w:rPr>
                <w:rFonts w:ascii="Arial" w:hAnsi="Arial"/>
                <w:spacing w:val="-1"/>
                <w:sz w:val="20"/>
                <w:szCs w:val="20"/>
              </w:rPr>
              <w:t>com</w:t>
            </w:r>
            <w:r>
              <w:rPr>
                <w:rFonts w:ascii="Arial" w:hAnsi="Arial"/>
                <w:spacing w:val="-8"/>
                <w:sz w:val="20"/>
                <w:szCs w:val="20"/>
              </w:rPr>
              <w:t xml:space="preserve"> </w:t>
            </w:r>
            <w:r>
              <w:rPr>
                <w:rFonts w:ascii="Arial" w:hAnsi="Arial"/>
                <w:spacing w:val="-1"/>
                <w:sz w:val="20"/>
                <w:szCs w:val="20"/>
              </w:rPr>
              <w:t>advogado</w:t>
            </w:r>
            <w:r>
              <w:rPr>
                <w:rFonts w:ascii="Arial" w:hAnsi="Arial"/>
                <w:spacing w:val="-7"/>
                <w:sz w:val="20"/>
                <w:szCs w:val="20"/>
              </w:rPr>
              <w:t xml:space="preserve"> </w:t>
            </w:r>
            <w:r>
              <w:rPr>
                <w:rFonts w:ascii="Arial" w:hAnsi="Arial"/>
                <w:sz w:val="20"/>
                <w:szCs w:val="20"/>
              </w:rPr>
              <w:t>e</w:t>
            </w:r>
            <w:r>
              <w:rPr>
                <w:rFonts w:ascii="Arial" w:hAnsi="Arial"/>
                <w:spacing w:val="-9"/>
                <w:sz w:val="20"/>
                <w:szCs w:val="20"/>
              </w:rPr>
              <w:t xml:space="preserve"> </w:t>
            </w:r>
            <w:r>
              <w:rPr>
                <w:rFonts w:ascii="Arial" w:hAnsi="Arial"/>
                <w:sz w:val="20"/>
                <w:szCs w:val="20"/>
              </w:rPr>
              <w:t>demais</w:t>
            </w:r>
            <w:r>
              <w:rPr>
                <w:rFonts w:ascii="Arial" w:hAnsi="Arial"/>
                <w:spacing w:val="-8"/>
                <w:sz w:val="20"/>
                <w:szCs w:val="20"/>
              </w:rPr>
              <w:t xml:space="preserve"> </w:t>
            </w:r>
            <w:r>
              <w:rPr>
                <w:rFonts w:ascii="Arial" w:hAnsi="Arial"/>
                <w:sz w:val="20"/>
                <w:szCs w:val="20"/>
              </w:rPr>
              <w:t>componentes</w:t>
            </w:r>
            <w:r>
              <w:rPr>
                <w:rFonts w:ascii="Arial" w:hAnsi="Arial"/>
                <w:spacing w:val="-8"/>
                <w:sz w:val="20"/>
                <w:szCs w:val="20"/>
              </w:rPr>
              <w:t xml:space="preserve"> </w:t>
            </w:r>
            <w:r>
              <w:rPr>
                <w:rFonts w:ascii="Arial" w:hAnsi="Arial"/>
                <w:sz w:val="20"/>
                <w:szCs w:val="20"/>
              </w:rPr>
              <w:t>parar</w:t>
            </w:r>
            <w:r>
              <w:rPr>
                <w:rFonts w:ascii="Arial" w:hAnsi="Arial"/>
                <w:spacing w:val="-10"/>
                <w:sz w:val="20"/>
                <w:szCs w:val="20"/>
              </w:rPr>
              <w:t xml:space="preserve"> </w:t>
            </w:r>
            <w:r>
              <w:rPr>
                <w:rFonts w:ascii="Arial" w:hAnsi="Arial"/>
                <w:sz w:val="20"/>
                <w:szCs w:val="20"/>
              </w:rPr>
              <w:t>fazer</w:t>
            </w:r>
            <w:r>
              <w:rPr>
                <w:rFonts w:ascii="Arial" w:hAnsi="Arial"/>
                <w:spacing w:val="-42"/>
                <w:sz w:val="20"/>
                <w:szCs w:val="20"/>
              </w:rPr>
              <w:t xml:space="preserve"> </w:t>
            </w:r>
            <w:r>
              <w:rPr>
                <w:rFonts w:ascii="Arial" w:hAnsi="Arial"/>
                <w:sz w:val="20"/>
                <w:szCs w:val="20"/>
              </w:rPr>
              <w:t>julgamentos de incidentes que venham a ocorrer. Deve ter</w:t>
            </w:r>
            <w:r>
              <w:rPr>
                <w:rFonts w:ascii="Arial" w:hAnsi="Arial"/>
                <w:spacing w:val="1"/>
                <w:sz w:val="20"/>
                <w:szCs w:val="20"/>
              </w:rPr>
              <w:t xml:space="preserve"> </w:t>
            </w:r>
            <w:r>
              <w:rPr>
                <w:rFonts w:ascii="Arial" w:hAnsi="Arial"/>
                <w:sz w:val="20"/>
                <w:szCs w:val="20"/>
              </w:rPr>
              <w:t>no</w:t>
            </w:r>
            <w:r>
              <w:rPr>
                <w:rFonts w:ascii="Arial" w:hAnsi="Arial"/>
                <w:spacing w:val="2"/>
                <w:sz w:val="20"/>
                <w:szCs w:val="20"/>
              </w:rPr>
              <w:t xml:space="preserve"> </w:t>
            </w:r>
            <w:r>
              <w:rPr>
                <w:rFonts w:ascii="Arial" w:hAnsi="Arial"/>
                <w:sz w:val="20"/>
                <w:szCs w:val="20"/>
              </w:rPr>
              <w:t>mínimo</w:t>
            </w:r>
            <w:r>
              <w:rPr>
                <w:rFonts w:ascii="Arial" w:hAnsi="Arial"/>
                <w:spacing w:val="2"/>
                <w:sz w:val="20"/>
                <w:szCs w:val="20"/>
              </w:rPr>
              <w:t xml:space="preserve"> </w:t>
            </w:r>
            <w:r>
              <w:rPr>
                <w:rFonts w:ascii="Arial" w:hAnsi="Arial"/>
                <w:sz w:val="20"/>
                <w:szCs w:val="20"/>
              </w:rPr>
              <w:t>três</w:t>
            </w:r>
            <w:r>
              <w:rPr>
                <w:rFonts w:ascii="Arial" w:hAnsi="Arial"/>
                <w:spacing w:val="3"/>
                <w:sz w:val="20"/>
                <w:szCs w:val="20"/>
              </w:rPr>
              <w:t xml:space="preserve"> </w:t>
            </w:r>
            <w:r>
              <w:rPr>
                <w:rFonts w:ascii="Arial" w:hAnsi="Arial"/>
                <w:sz w:val="20"/>
                <w:szCs w:val="20"/>
              </w:rPr>
              <w:t>(3)</w:t>
            </w:r>
            <w:r>
              <w:rPr>
                <w:rFonts w:ascii="Arial" w:hAnsi="Arial"/>
                <w:spacing w:val="2"/>
                <w:sz w:val="20"/>
                <w:szCs w:val="20"/>
              </w:rPr>
              <w:t xml:space="preserve"> </w:t>
            </w:r>
            <w:r>
              <w:rPr>
                <w:rFonts w:ascii="Arial" w:hAnsi="Arial"/>
                <w:sz w:val="20"/>
                <w:szCs w:val="20"/>
              </w:rPr>
              <w:t>árbitros</w:t>
            </w:r>
            <w:r>
              <w:rPr>
                <w:rFonts w:ascii="Arial" w:hAnsi="Arial"/>
                <w:spacing w:val="1"/>
                <w:sz w:val="20"/>
                <w:szCs w:val="20"/>
              </w:rPr>
              <w:t xml:space="preserve"> </w:t>
            </w:r>
            <w:r>
              <w:rPr>
                <w:rFonts w:ascii="Arial" w:hAnsi="Arial"/>
                <w:sz w:val="20"/>
                <w:szCs w:val="20"/>
              </w:rPr>
              <w:t>federados.</w:t>
            </w:r>
            <w:r>
              <w:rPr>
                <w:rFonts w:ascii="Arial" w:hAnsi="Arial"/>
                <w:spacing w:val="3"/>
                <w:sz w:val="20"/>
                <w:szCs w:val="20"/>
              </w:rPr>
              <w:t xml:space="preserve"> </w:t>
            </w:r>
            <w:r>
              <w:rPr>
                <w:rFonts w:ascii="Arial" w:hAnsi="Arial"/>
                <w:sz w:val="20"/>
                <w:szCs w:val="20"/>
              </w:rPr>
              <w:t>Deslocamento</w:t>
            </w:r>
            <w:r>
              <w:rPr>
                <w:rFonts w:ascii="Arial" w:hAnsi="Arial"/>
                <w:spacing w:val="-1"/>
                <w:sz w:val="20"/>
                <w:szCs w:val="20"/>
              </w:rPr>
              <w:t xml:space="preserve"> </w:t>
            </w:r>
            <w:r>
              <w:rPr>
                <w:rFonts w:ascii="Arial" w:hAnsi="Arial"/>
                <w:sz w:val="20"/>
                <w:szCs w:val="20"/>
              </w:rPr>
              <w:t>até</w:t>
            </w:r>
            <w:r>
              <w:rPr>
                <w:rFonts w:ascii="Arial" w:hAnsi="Arial"/>
                <w:spacing w:val="3"/>
                <w:sz w:val="20"/>
                <w:szCs w:val="20"/>
              </w:rPr>
              <w:t xml:space="preserve"> </w:t>
            </w:r>
            <w:r>
              <w:rPr>
                <w:rFonts w:ascii="Arial" w:hAnsi="Arial"/>
                <w:sz w:val="20"/>
                <w:szCs w:val="20"/>
              </w:rPr>
              <w:t>os locais</w:t>
            </w:r>
            <w:r>
              <w:rPr>
                <w:rFonts w:ascii="Arial" w:hAnsi="Arial"/>
                <w:spacing w:val="-1"/>
                <w:sz w:val="20"/>
                <w:szCs w:val="20"/>
              </w:rPr>
              <w:t xml:space="preserve"> </w:t>
            </w:r>
            <w:r>
              <w:rPr>
                <w:rFonts w:ascii="Arial" w:hAnsi="Arial"/>
                <w:sz w:val="20"/>
                <w:szCs w:val="20"/>
              </w:rPr>
              <w:t>de</w:t>
            </w:r>
            <w:r>
              <w:rPr>
                <w:rFonts w:ascii="Arial" w:hAnsi="Arial"/>
                <w:spacing w:val="-3"/>
                <w:sz w:val="20"/>
                <w:szCs w:val="20"/>
              </w:rPr>
              <w:t xml:space="preserve"> </w:t>
            </w:r>
            <w:r>
              <w:rPr>
                <w:rFonts w:ascii="Arial" w:hAnsi="Arial"/>
                <w:sz w:val="20"/>
                <w:szCs w:val="20"/>
              </w:rPr>
              <w:t>jogos</w:t>
            </w:r>
            <w:r>
              <w:rPr>
                <w:rFonts w:ascii="Arial" w:hAnsi="Arial"/>
                <w:spacing w:val="-1"/>
                <w:sz w:val="20"/>
                <w:szCs w:val="20"/>
              </w:rPr>
              <w:t xml:space="preserve"> </w:t>
            </w:r>
            <w:r>
              <w:rPr>
                <w:rFonts w:ascii="Arial" w:hAnsi="Arial"/>
                <w:sz w:val="20"/>
                <w:szCs w:val="20"/>
              </w:rPr>
              <w:t>por</w:t>
            </w:r>
            <w:r>
              <w:rPr>
                <w:rFonts w:ascii="Arial" w:hAnsi="Arial"/>
                <w:spacing w:val="-4"/>
                <w:sz w:val="20"/>
                <w:szCs w:val="20"/>
              </w:rPr>
              <w:t xml:space="preserve"> </w:t>
            </w:r>
            <w:r>
              <w:rPr>
                <w:rFonts w:ascii="Arial" w:hAnsi="Arial"/>
                <w:sz w:val="20"/>
                <w:szCs w:val="20"/>
              </w:rPr>
              <w:t>conta</w:t>
            </w:r>
            <w:r>
              <w:rPr>
                <w:rFonts w:ascii="Arial" w:hAnsi="Arial"/>
                <w:spacing w:val="-2"/>
                <w:sz w:val="20"/>
                <w:szCs w:val="20"/>
              </w:rPr>
              <w:t xml:space="preserve"> </w:t>
            </w:r>
            <w:r>
              <w:rPr>
                <w:rFonts w:ascii="Arial" w:hAnsi="Arial"/>
                <w:sz w:val="20"/>
                <w:szCs w:val="20"/>
              </w:rPr>
              <w:t>da</w:t>
            </w:r>
            <w:r>
              <w:rPr>
                <w:rFonts w:ascii="Arial" w:hAnsi="Arial"/>
                <w:spacing w:val="-2"/>
                <w:sz w:val="20"/>
                <w:szCs w:val="20"/>
              </w:rPr>
              <w:t xml:space="preserve"> </w:t>
            </w:r>
            <w:r>
              <w:rPr>
                <w:rFonts w:ascii="Arial" w:hAnsi="Arial"/>
                <w:sz w:val="20"/>
                <w:szCs w:val="20"/>
              </w:rPr>
              <w:t>empresa</w:t>
            </w:r>
            <w:r>
              <w:rPr>
                <w:rFonts w:ascii="Arial" w:hAnsi="Arial"/>
                <w:spacing w:val="-4"/>
                <w:sz w:val="20"/>
                <w:szCs w:val="20"/>
              </w:rPr>
              <w:t xml:space="preserve"> </w:t>
            </w:r>
            <w:r>
              <w:rPr>
                <w:rFonts w:ascii="Arial" w:hAnsi="Arial"/>
                <w:sz w:val="20"/>
                <w:szCs w:val="20"/>
              </w:rPr>
              <w:t>vencedora.</w:t>
            </w:r>
          </w:p>
        </w:tc>
        <w:tc>
          <w:tcPr>
            <w:tcW w:w="975"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Jogo</w:t>
            </w:r>
          </w:p>
        </w:tc>
        <w:tc>
          <w:tcPr>
            <w:tcW w:w="1471"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140</w:t>
            </w:r>
          </w:p>
        </w:tc>
        <w:tc>
          <w:tcPr>
            <w:tcW w:w="1634" w:type="dxa"/>
            <w:tcBorders>
              <w:left w:val="single" w:sz="4" w:space="0" w:color="000000"/>
              <w:bottom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R$ 310,83</w:t>
            </w:r>
          </w:p>
        </w:tc>
        <w:tc>
          <w:tcPr>
            <w:tcW w:w="1260" w:type="dxa"/>
            <w:tcBorders>
              <w:left w:val="single" w:sz="4" w:space="0" w:color="000000"/>
              <w:bottom w:val="single" w:sz="4" w:space="0" w:color="000000"/>
              <w:righ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R$ 43.516,20</w:t>
            </w:r>
          </w:p>
        </w:tc>
      </w:tr>
      <w:tr>
        <w:trPr/>
        <w:tc>
          <w:tcPr>
            <w:tcW w:w="900" w:type="dxa"/>
            <w:tcBorders>
              <w:left w:val="single" w:sz="4" w:space="0" w:color="000000"/>
              <w:bottom w:val="single" w:sz="4" w:space="0" w:color="000000"/>
            </w:tcBorders>
          </w:tcPr>
          <w:p>
            <w:pPr>
              <w:pStyle w:val="Contedodatabela"/>
              <w:widowControl w:val="false"/>
              <w:spacing w:before="0" w:after="0"/>
              <w:jc w:val="center"/>
              <w:rPr>
                <w:rFonts w:ascii="Arial" w:hAnsi="Arial"/>
                <w:b/>
                <w:b/>
                <w:bCs/>
              </w:rPr>
            </w:pPr>
            <w:r>
              <w:rPr>
                <w:rFonts w:eastAsia="NSimSun" w:cs="Arial" w:ascii="Arial" w:hAnsi="Arial"/>
                <w:b/>
                <w:bCs/>
                <w:kern w:val="0"/>
                <w:sz w:val="20"/>
                <w:szCs w:val="20"/>
              </w:rPr>
              <w:t>2</w:t>
            </w:r>
          </w:p>
        </w:tc>
        <w:tc>
          <w:tcPr>
            <w:tcW w:w="4754" w:type="dxa"/>
            <w:tcBorders>
              <w:left w:val="single" w:sz="4" w:space="0" w:color="000000"/>
              <w:bottom w:val="single" w:sz="4" w:space="0" w:color="000000"/>
            </w:tcBorders>
          </w:tcPr>
          <w:p>
            <w:pPr>
              <w:pStyle w:val="TableParagraph"/>
              <w:widowControl w:val="false"/>
              <w:spacing w:lineRule="auto" w:line="288" w:before="27" w:after="0"/>
              <w:ind w:left="86" w:right="138" w:hanging="0"/>
              <w:jc w:val="both"/>
              <w:rPr>
                <w:rFonts w:ascii="Arial" w:hAnsi="Arial"/>
                <w:sz w:val="20"/>
                <w:szCs w:val="20"/>
              </w:rPr>
            </w:pPr>
            <w:r>
              <w:rPr>
                <w:rFonts w:ascii="Arial" w:hAnsi="Arial"/>
                <w:spacing w:val="-1"/>
                <w:sz w:val="20"/>
                <w:szCs w:val="20"/>
              </w:rPr>
              <w:t>Prestação</w:t>
            </w:r>
            <w:r>
              <w:rPr>
                <w:rFonts w:ascii="Arial" w:hAnsi="Arial"/>
                <w:spacing w:val="-10"/>
                <w:sz w:val="20"/>
                <w:szCs w:val="20"/>
              </w:rPr>
              <w:t xml:space="preserve"> </w:t>
            </w:r>
            <w:r>
              <w:rPr>
                <w:rFonts w:ascii="Arial" w:hAnsi="Arial"/>
                <w:spacing w:val="-1"/>
                <w:sz w:val="20"/>
                <w:szCs w:val="20"/>
              </w:rPr>
              <w:t>de</w:t>
            </w:r>
            <w:r>
              <w:rPr>
                <w:rFonts w:ascii="Arial" w:hAnsi="Arial"/>
                <w:spacing w:val="-12"/>
                <w:sz w:val="20"/>
                <w:szCs w:val="20"/>
              </w:rPr>
              <w:t xml:space="preserve"> </w:t>
            </w:r>
            <w:r>
              <w:rPr>
                <w:rFonts w:ascii="Arial" w:hAnsi="Arial"/>
                <w:spacing w:val="-1"/>
                <w:sz w:val="20"/>
                <w:szCs w:val="20"/>
              </w:rPr>
              <w:t>serviço</w:t>
            </w:r>
            <w:r>
              <w:rPr>
                <w:rFonts w:ascii="Arial" w:hAnsi="Arial"/>
                <w:spacing w:val="-12"/>
                <w:sz w:val="20"/>
                <w:szCs w:val="20"/>
              </w:rPr>
              <w:t xml:space="preserve"> </w:t>
            </w:r>
            <w:r>
              <w:rPr>
                <w:rFonts w:ascii="Arial" w:hAnsi="Arial"/>
                <w:sz w:val="20"/>
                <w:szCs w:val="20"/>
              </w:rPr>
              <w:t>de</w:t>
            </w:r>
            <w:r>
              <w:rPr>
                <w:rFonts w:ascii="Arial" w:hAnsi="Arial"/>
                <w:spacing w:val="-9"/>
                <w:sz w:val="20"/>
                <w:szCs w:val="20"/>
              </w:rPr>
              <w:t xml:space="preserve"> </w:t>
            </w:r>
            <w:r>
              <w:rPr>
                <w:rFonts w:ascii="Arial" w:hAnsi="Arial"/>
                <w:sz w:val="20"/>
                <w:szCs w:val="20"/>
              </w:rPr>
              <w:t>arbitragem</w:t>
            </w:r>
            <w:r>
              <w:rPr>
                <w:rFonts w:ascii="Arial" w:hAnsi="Arial"/>
                <w:spacing w:val="-6"/>
                <w:sz w:val="20"/>
                <w:szCs w:val="20"/>
              </w:rPr>
              <w:t xml:space="preserve"> </w:t>
            </w:r>
            <w:r>
              <w:rPr>
                <w:rFonts w:ascii="Arial" w:hAnsi="Arial"/>
                <w:b/>
                <w:sz w:val="20"/>
                <w:szCs w:val="20"/>
              </w:rPr>
              <w:t>Campeonato</w:t>
            </w:r>
            <w:r>
              <w:rPr>
                <w:rFonts w:ascii="Arial" w:hAnsi="Arial"/>
                <w:b/>
                <w:spacing w:val="-10"/>
                <w:sz w:val="20"/>
                <w:szCs w:val="20"/>
              </w:rPr>
              <w:t xml:space="preserve"> </w:t>
            </w:r>
            <w:r>
              <w:rPr>
                <w:rFonts w:ascii="Arial" w:hAnsi="Arial"/>
                <w:b/>
                <w:sz w:val="20"/>
                <w:szCs w:val="20"/>
              </w:rPr>
              <w:t>Municipal</w:t>
            </w:r>
            <w:r>
              <w:rPr>
                <w:rFonts w:ascii="Arial" w:hAnsi="Arial"/>
                <w:b/>
                <w:spacing w:val="-43"/>
                <w:sz w:val="20"/>
                <w:szCs w:val="20"/>
              </w:rPr>
              <w:t xml:space="preserve"> </w:t>
            </w:r>
            <w:r>
              <w:rPr>
                <w:rFonts w:ascii="Arial" w:hAnsi="Arial"/>
                <w:b/>
                <w:sz w:val="20"/>
                <w:szCs w:val="20"/>
              </w:rPr>
              <w:t>de</w:t>
            </w:r>
            <w:r>
              <w:rPr>
                <w:rFonts w:ascii="Arial" w:hAnsi="Arial"/>
                <w:b/>
                <w:spacing w:val="1"/>
                <w:sz w:val="20"/>
                <w:szCs w:val="20"/>
              </w:rPr>
              <w:t xml:space="preserve"> </w:t>
            </w:r>
            <w:r>
              <w:rPr>
                <w:rFonts w:ascii="Arial" w:hAnsi="Arial"/>
                <w:b/>
                <w:sz w:val="20"/>
                <w:szCs w:val="20"/>
              </w:rPr>
              <w:t xml:space="preserve">Campo </w:t>
            </w:r>
            <w:r>
              <w:rPr>
                <w:rFonts w:ascii="Arial" w:hAnsi="Arial"/>
                <w:b/>
                <w:bCs/>
                <w:spacing w:val="1"/>
                <w:sz w:val="20"/>
                <w:szCs w:val="20"/>
              </w:rPr>
              <w:t>Adulto, Masculino, Feminino e Veteranos</w:t>
            </w:r>
            <w:r>
              <w:rPr>
                <w:rFonts w:ascii="Arial" w:hAnsi="Arial"/>
                <w:b w:val="false"/>
                <w:bCs w:val="false"/>
                <w:spacing w:val="1"/>
                <w:sz w:val="20"/>
                <w:szCs w:val="20"/>
              </w:rPr>
              <w:t xml:space="preserve"> </w:t>
            </w:r>
            <w:r>
              <w:rPr>
                <w:rFonts w:ascii="Arial" w:hAnsi="Arial"/>
                <w:sz w:val="20"/>
                <w:szCs w:val="20"/>
              </w:rPr>
              <w:t>,</w:t>
            </w:r>
            <w:r>
              <w:rPr>
                <w:rFonts w:ascii="Arial" w:hAnsi="Arial"/>
                <w:spacing w:val="-42"/>
                <w:sz w:val="20"/>
                <w:szCs w:val="20"/>
              </w:rPr>
              <w:t xml:space="preserve"> </w:t>
            </w:r>
            <w:r>
              <w:rPr>
                <w:rFonts w:ascii="Arial" w:hAnsi="Arial"/>
                <w:sz w:val="20"/>
                <w:szCs w:val="20"/>
              </w:rPr>
              <w:t>conforme tabela e demanda a ser elaborada pela Diretoria Municipal de Esportes, equipe com 4 membros sendo um</w:t>
            </w:r>
            <w:r>
              <w:rPr>
                <w:rFonts w:ascii="Arial" w:hAnsi="Arial"/>
                <w:spacing w:val="1"/>
                <w:sz w:val="20"/>
                <w:szCs w:val="20"/>
              </w:rPr>
              <w:t xml:space="preserve"> </w:t>
            </w:r>
            <w:r>
              <w:rPr>
                <w:rFonts w:ascii="Arial" w:hAnsi="Arial"/>
                <w:sz w:val="20"/>
                <w:szCs w:val="20"/>
              </w:rPr>
              <w:t>arbitro, dois assistentes e um mésario, fazer os controles de</w:t>
            </w:r>
            <w:r>
              <w:rPr>
                <w:rFonts w:ascii="Arial" w:hAnsi="Arial"/>
                <w:spacing w:val="-43"/>
                <w:sz w:val="20"/>
                <w:szCs w:val="20"/>
              </w:rPr>
              <w:t xml:space="preserve"> </w:t>
            </w:r>
            <w:r>
              <w:rPr>
                <w:rFonts w:ascii="Arial" w:hAnsi="Arial"/>
                <w:spacing w:val="-1"/>
                <w:sz w:val="20"/>
                <w:szCs w:val="20"/>
              </w:rPr>
              <w:t>Pontos,</w:t>
            </w:r>
            <w:r>
              <w:rPr>
                <w:rFonts w:ascii="Arial" w:hAnsi="Arial"/>
                <w:spacing w:val="-11"/>
                <w:sz w:val="20"/>
                <w:szCs w:val="20"/>
              </w:rPr>
              <w:t xml:space="preserve"> </w:t>
            </w:r>
            <w:r>
              <w:rPr>
                <w:rFonts w:ascii="Arial" w:hAnsi="Arial"/>
                <w:spacing w:val="-1"/>
                <w:sz w:val="20"/>
                <w:szCs w:val="20"/>
              </w:rPr>
              <w:t>cruzamento,</w:t>
            </w:r>
            <w:r>
              <w:rPr>
                <w:rFonts w:ascii="Arial" w:hAnsi="Arial"/>
                <w:spacing w:val="-10"/>
                <w:sz w:val="20"/>
                <w:szCs w:val="20"/>
              </w:rPr>
              <w:t xml:space="preserve"> </w:t>
            </w:r>
            <w:r>
              <w:rPr>
                <w:rFonts w:ascii="Arial" w:hAnsi="Arial"/>
                <w:spacing w:val="-1"/>
                <w:sz w:val="20"/>
                <w:szCs w:val="20"/>
              </w:rPr>
              <w:t>classificação,</w:t>
            </w:r>
            <w:r>
              <w:rPr>
                <w:rFonts w:ascii="Arial" w:hAnsi="Arial"/>
                <w:spacing w:val="-9"/>
                <w:sz w:val="20"/>
                <w:szCs w:val="20"/>
              </w:rPr>
              <w:t xml:space="preserve"> </w:t>
            </w:r>
            <w:r>
              <w:rPr>
                <w:rFonts w:ascii="Arial" w:hAnsi="Arial"/>
                <w:sz w:val="20"/>
                <w:szCs w:val="20"/>
              </w:rPr>
              <w:t>cartões,</w:t>
            </w:r>
            <w:r>
              <w:rPr>
                <w:rFonts w:ascii="Arial" w:hAnsi="Arial"/>
                <w:spacing w:val="-10"/>
                <w:sz w:val="20"/>
                <w:szCs w:val="20"/>
              </w:rPr>
              <w:t xml:space="preserve"> </w:t>
            </w:r>
            <w:r>
              <w:rPr>
                <w:rFonts w:ascii="Arial" w:hAnsi="Arial"/>
                <w:sz w:val="20"/>
                <w:szCs w:val="20"/>
              </w:rPr>
              <w:t>goleador,</w:t>
            </w:r>
            <w:r>
              <w:rPr>
                <w:rFonts w:ascii="Arial" w:hAnsi="Arial"/>
                <w:spacing w:val="-7"/>
                <w:sz w:val="20"/>
                <w:szCs w:val="20"/>
              </w:rPr>
              <w:t xml:space="preserve"> </w:t>
            </w:r>
            <w:r>
              <w:rPr>
                <w:rFonts w:ascii="Arial" w:hAnsi="Arial"/>
                <w:sz w:val="20"/>
                <w:szCs w:val="20"/>
              </w:rPr>
              <w:t>defesa</w:t>
            </w:r>
            <w:r>
              <w:rPr>
                <w:rFonts w:ascii="Arial" w:hAnsi="Arial"/>
                <w:spacing w:val="-42"/>
                <w:sz w:val="20"/>
                <w:szCs w:val="20"/>
              </w:rPr>
              <w:t xml:space="preserve"> </w:t>
            </w:r>
            <w:r>
              <w:rPr>
                <w:rFonts w:ascii="Arial" w:hAnsi="Arial"/>
                <w:spacing w:val="-1"/>
                <w:sz w:val="20"/>
                <w:szCs w:val="20"/>
              </w:rPr>
              <w:t>menos</w:t>
            </w:r>
            <w:r>
              <w:rPr>
                <w:rFonts w:ascii="Arial" w:hAnsi="Arial"/>
                <w:spacing w:val="-6"/>
                <w:sz w:val="20"/>
                <w:szCs w:val="20"/>
              </w:rPr>
              <w:t xml:space="preserve"> </w:t>
            </w:r>
            <w:r>
              <w:rPr>
                <w:rFonts w:ascii="Arial" w:hAnsi="Arial"/>
                <w:spacing w:val="-1"/>
                <w:sz w:val="20"/>
                <w:szCs w:val="20"/>
              </w:rPr>
              <w:t>vazada</w:t>
            </w:r>
            <w:r>
              <w:rPr>
                <w:rFonts w:ascii="Arial" w:hAnsi="Arial"/>
                <w:spacing w:val="-6"/>
                <w:sz w:val="20"/>
                <w:szCs w:val="20"/>
              </w:rPr>
              <w:t xml:space="preserve"> </w:t>
            </w:r>
            <w:r>
              <w:rPr>
                <w:rFonts w:ascii="Arial" w:hAnsi="Arial"/>
                <w:spacing w:val="-1"/>
                <w:sz w:val="20"/>
                <w:szCs w:val="20"/>
              </w:rPr>
              <w:t>e</w:t>
            </w:r>
            <w:r>
              <w:rPr>
                <w:rFonts w:ascii="Arial" w:hAnsi="Arial"/>
                <w:spacing w:val="-7"/>
                <w:sz w:val="20"/>
                <w:szCs w:val="20"/>
              </w:rPr>
              <w:t xml:space="preserve"> </w:t>
            </w:r>
            <w:r>
              <w:rPr>
                <w:rFonts w:ascii="Arial" w:hAnsi="Arial"/>
                <w:spacing w:val="-1"/>
                <w:sz w:val="20"/>
                <w:szCs w:val="20"/>
              </w:rPr>
              <w:t>equipe</w:t>
            </w:r>
            <w:r>
              <w:rPr>
                <w:rFonts w:ascii="Arial" w:hAnsi="Arial"/>
                <w:spacing w:val="-9"/>
                <w:sz w:val="20"/>
                <w:szCs w:val="20"/>
              </w:rPr>
              <w:t xml:space="preserve"> </w:t>
            </w:r>
            <w:r>
              <w:rPr>
                <w:rFonts w:ascii="Arial" w:hAnsi="Arial"/>
                <w:sz w:val="20"/>
                <w:szCs w:val="20"/>
              </w:rPr>
              <w:t>mais</w:t>
            </w:r>
            <w:r>
              <w:rPr>
                <w:rFonts w:ascii="Arial" w:hAnsi="Arial"/>
                <w:spacing w:val="-4"/>
                <w:sz w:val="20"/>
                <w:szCs w:val="20"/>
              </w:rPr>
              <w:t xml:space="preserve"> </w:t>
            </w:r>
            <w:r>
              <w:rPr>
                <w:rFonts w:ascii="Arial" w:hAnsi="Arial"/>
                <w:sz w:val="20"/>
                <w:szCs w:val="20"/>
              </w:rPr>
              <w:t>disciplinada,</w:t>
            </w:r>
            <w:r>
              <w:rPr>
                <w:rFonts w:ascii="Arial" w:hAnsi="Arial"/>
                <w:spacing w:val="-3"/>
                <w:sz w:val="20"/>
                <w:szCs w:val="20"/>
              </w:rPr>
              <w:t xml:space="preserve"> </w:t>
            </w:r>
            <w:r>
              <w:rPr>
                <w:rFonts w:ascii="Arial" w:hAnsi="Arial"/>
                <w:sz w:val="20"/>
                <w:szCs w:val="20"/>
              </w:rPr>
              <w:t>através</w:t>
            </w:r>
            <w:r>
              <w:rPr>
                <w:rFonts w:ascii="Arial" w:hAnsi="Arial"/>
                <w:spacing w:val="-4"/>
                <w:sz w:val="20"/>
                <w:szCs w:val="20"/>
              </w:rPr>
              <w:t xml:space="preserve"> </w:t>
            </w:r>
            <w:r>
              <w:rPr>
                <w:rFonts w:ascii="Arial" w:hAnsi="Arial"/>
                <w:sz w:val="20"/>
                <w:szCs w:val="20"/>
              </w:rPr>
              <w:t>de</w:t>
            </w:r>
            <w:r>
              <w:rPr>
                <w:rFonts w:ascii="Arial" w:hAnsi="Arial"/>
                <w:spacing w:val="-11"/>
                <w:sz w:val="20"/>
                <w:szCs w:val="20"/>
              </w:rPr>
              <w:t xml:space="preserve"> </w:t>
            </w:r>
            <w:r>
              <w:rPr>
                <w:rFonts w:ascii="Arial" w:hAnsi="Arial"/>
                <w:sz w:val="20"/>
                <w:szCs w:val="20"/>
              </w:rPr>
              <w:t>site</w:t>
            </w:r>
            <w:r>
              <w:rPr>
                <w:rFonts w:ascii="Arial" w:hAnsi="Arial"/>
                <w:spacing w:val="-7"/>
                <w:sz w:val="20"/>
                <w:szCs w:val="20"/>
              </w:rPr>
              <w:t xml:space="preserve"> </w:t>
            </w:r>
            <w:r>
              <w:rPr>
                <w:rFonts w:ascii="Arial" w:hAnsi="Arial"/>
                <w:sz w:val="20"/>
                <w:szCs w:val="20"/>
              </w:rPr>
              <w:t>ou</w:t>
            </w:r>
            <w:r>
              <w:rPr>
                <w:rFonts w:ascii="Arial" w:hAnsi="Arial"/>
                <w:spacing w:val="-42"/>
                <w:sz w:val="20"/>
                <w:szCs w:val="20"/>
              </w:rPr>
              <w:t xml:space="preserve"> </w:t>
            </w:r>
            <w:r>
              <w:rPr>
                <w:rFonts w:ascii="Arial" w:hAnsi="Arial"/>
                <w:sz w:val="20"/>
                <w:szCs w:val="20"/>
              </w:rPr>
              <w:t>aplicativo modo público, devendo ser atualizado com no</w:t>
            </w:r>
            <w:r>
              <w:rPr>
                <w:rFonts w:ascii="Arial" w:hAnsi="Arial"/>
                <w:spacing w:val="1"/>
                <w:sz w:val="20"/>
                <w:szCs w:val="20"/>
              </w:rPr>
              <w:t xml:space="preserve"> </w:t>
            </w:r>
            <w:r>
              <w:rPr>
                <w:rFonts w:ascii="Arial" w:hAnsi="Arial"/>
                <w:sz w:val="20"/>
                <w:szCs w:val="20"/>
              </w:rPr>
              <w:t>máximo</w:t>
            </w:r>
            <w:r>
              <w:rPr>
                <w:rFonts w:ascii="Arial" w:hAnsi="Arial"/>
                <w:spacing w:val="1"/>
                <w:sz w:val="20"/>
                <w:szCs w:val="20"/>
              </w:rPr>
              <w:t xml:space="preserve"> </w:t>
            </w:r>
            <w:r>
              <w:rPr>
                <w:rFonts w:ascii="Arial" w:hAnsi="Arial"/>
                <w:sz w:val="20"/>
                <w:szCs w:val="20"/>
              </w:rPr>
              <w:t>48</w:t>
            </w:r>
            <w:r>
              <w:rPr>
                <w:rFonts w:ascii="Arial" w:hAnsi="Arial"/>
                <w:spacing w:val="1"/>
                <w:sz w:val="20"/>
                <w:szCs w:val="20"/>
              </w:rPr>
              <w:t xml:space="preserve"> </w:t>
            </w:r>
            <w:r>
              <w:rPr>
                <w:rFonts w:ascii="Arial" w:hAnsi="Arial"/>
                <w:sz w:val="20"/>
                <w:szCs w:val="20"/>
              </w:rPr>
              <w:t>horas</w:t>
            </w:r>
            <w:r>
              <w:rPr>
                <w:rFonts w:ascii="Arial" w:hAnsi="Arial"/>
                <w:spacing w:val="1"/>
                <w:sz w:val="20"/>
                <w:szCs w:val="20"/>
              </w:rPr>
              <w:t xml:space="preserve"> </w:t>
            </w:r>
            <w:r>
              <w:rPr>
                <w:rFonts w:ascii="Arial" w:hAnsi="Arial"/>
                <w:sz w:val="20"/>
                <w:szCs w:val="20"/>
              </w:rPr>
              <w:t>após</w:t>
            </w:r>
            <w:r>
              <w:rPr>
                <w:rFonts w:ascii="Arial" w:hAnsi="Arial"/>
                <w:spacing w:val="1"/>
                <w:sz w:val="20"/>
                <w:szCs w:val="20"/>
              </w:rPr>
              <w:t xml:space="preserve"> </w:t>
            </w:r>
            <w:r>
              <w:rPr>
                <w:rFonts w:ascii="Arial" w:hAnsi="Arial"/>
                <w:sz w:val="20"/>
                <w:szCs w:val="20"/>
              </w:rPr>
              <w:t>realização</w:t>
            </w:r>
            <w:r>
              <w:rPr>
                <w:rFonts w:ascii="Arial" w:hAnsi="Arial"/>
                <w:spacing w:val="1"/>
                <w:sz w:val="20"/>
                <w:szCs w:val="20"/>
              </w:rPr>
              <w:t xml:space="preserve"> </w:t>
            </w:r>
            <w:r>
              <w:rPr>
                <w:rFonts w:ascii="Arial" w:hAnsi="Arial"/>
                <w:sz w:val="20"/>
                <w:szCs w:val="20"/>
              </w:rPr>
              <w:t>da</w:t>
            </w:r>
            <w:r>
              <w:rPr>
                <w:rFonts w:ascii="Arial" w:hAnsi="Arial"/>
                <w:spacing w:val="1"/>
                <w:sz w:val="20"/>
                <w:szCs w:val="20"/>
              </w:rPr>
              <w:t xml:space="preserve"> </w:t>
            </w:r>
            <w:r>
              <w:rPr>
                <w:rFonts w:ascii="Arial" w:hAnsi="Arial"/>
                <w:sz w:val="20"/>
                <w:szCs w:val="20"/>
              </w:rPr>
              <w:t>partida,</w:t>
            </w:r>
            <w:r>
              <w:rPr>
                <w:rFonts w:ascii="Arial" w:hAnsi="Arial"/>
                <w:spacing w:val="1"/>
                <w:sz w:val="20"/>
                <w:szCs w:val="20"/>
              </w:rPr>
              <w:t xml:space="preserve"> </w:t>
            </w:r>
            <w:r>
              <w:rPr>
                <w:rFonts w:ascii="Arial" w:hAnsi="Arial"/>
                <w:sz w:val="20"/>
                <w:szCs w:val="20"/>
              </w:rPr>
              <w:t>repassar</w:t>
            </w:r>
            <w:r>
              <w:rPr>
                <w:rFonts w:ascii="Arial" w:hAnsi="Arial"/>
                <w:spacing w:val="1"/>
                <w:sz w:val="20"/>
                <w:szCs w:val="20"/>
              </w:rPr>
              <w:t xml:space="preserve"> </w:t>
            </w:r>
            <w:r>
              <w:rPr>
                <w:rFonts w:ascii="Arial" w:hAnsi="Arial"/>
                <w:sz w:val="20"/>
                <w:szCs w:val="20"/>
              </w:rPr>
              <w:t>relatórios após cada rodada, comissão com advogado e</w:t>
            </w:r>
            <w:r>
              <w:rPr>
                <w:rFonts w:ascii="Arial" w:hAnsi="Arial"/>
                <w:spacing w:val="1"/>
                <w:sz w:val="20"/>
                <w:szCs w:val="20"/>
              </w:rPr>
              <w:t xml:space="preserve"> </w:t>
            </w:r>
            <w:r>
              <w:rPr>
                <w:rFonts w:ascii="Arial" w:hAnsi="Arial"/>
                <w:sz w:val="20"/>
                <w:szCs w:val="20"/>
              </w:rPr>
              <w:t>demais componentes parar fazer julgamentos de incidentes</w:t>
            </w:r>
            <w:r>
              <w:rPr>
                <w:rFonts w:ascii="Arial" w:hAnsi="Arial"/>
                <w:spacing w:val="-42"/>
                <w:sz w:val="20"/>
                <w:szCs w:val="20"/>
              </w:rPr>
              <w:t xml:space="preserve"> </w:t>
            </w:r>
            <w:r>
              <w:rPr>
                <w:rFonts w:ascii="Arial" w:hAnsi="Arial"/>
                <w:sz w:val="20"/>
                <w:szCs w:val="20"/>
              </w:rPr>
              <w:t>que venham a ocorrer. Deve ter no mínimo 1 (um) árbitro</w:t>
            </w:r>
            <w:r>
              <w:rPr>
                <w:rFonts w:ascii="Arial" w:hAnsi="Arial"/>
                <w:spacing w:val="1"/>
                <w:sz w:val="20"/>
                <w:szCs w:val="20"/>
              </w:rPr>
              <w:t xml:space="preserve"> </w:t>
            </w:r>
            <w:r>
              <w:rPr>
                <w:rFonts w:ascii="Arial" w:hAnsi="Arial"/>
                <w:sz w:val="20"/>
                <w:szCs w:val="20"/>
              </w:rPr>
              <w:t>federado.</w:t>
            </w:r>
            <w:r>
              <w:rPr>
                <w:rFonts w:ascii="Arial" w:hAnsi="Arial"/>
                <w:spacing w:val="-2"/>
                <w:sz w:val="20"/>
                <w:szCs w:val="20"/>
              </w:rPr>
              <w:t xml:space="preserve"> </w:t>
            </w:r>
            <w:r>
              <w:rPr>
                <w:rFonts w:ascii="Arial" w:hAnsi="Arial"/>
                <w:sz w:val="20"/>
                <w:szCs w:val="20"/>
              </w:rPr>
              <w:t>Deslocamento</w:t>
            </w:r>
            <w:r>
              <w:rPr>
                <w:rFonts w:ascii="Arial" w:hAnsi="Arial"/>
                <w:spacing w:val="-4"/>
                <w:sz w:val="20"/>
                <w:szCs w:val="20"/>
              </w:rPr>
              <w:t xml:space="preserve"> </w:t>
            </w:r>
            <w:r>
              <w:rPr>
                <w:rFonts w:ascii="Arial" w:hAnsi="Arial"/>
                <w:sz w:val="20"/>
                <w:szCs w:val="20"/>
              </w:rPr>
              <w:t>até</w:t>
            </w:r>
            <w:r>
              <w:rPr>
                <w:rFonts w:ascii="Arial" w:hAnsi="Arial"/>
                <w:spacing w:val="-3"/>
                <w:sz w:val="20"/>
                <w:szCs w:val="20"/>
              </w:rPr>
              <w:t xml:space="preserve"> </w:t>
            </w:r>
            <w:r>
              <w:rPr>
                <w:rFonts w:ascii="Arial" w:hAnsi="Arial"/>
                <w:sz w:val="20"/>
                <w:szCs w:val="20"/>
              </w:rPr>
              <w:t>os locais</w:t>
            </w:r>
            <w:r>
              <w:rPr>
                <w:rFonts w:ascii="Arial" w:hAnsi="Arial"/>
                <w:spacing w:val="-2"/>
                <w:sz w:val="20"/>
                <w:szCs w:val="20"/>
              </w:rPr>
              <w:t xml:space="preserve"> </w:t>
            </w:r>
            <w:r>
              <w:rPr>
                <w:rFonts w:ascii="Arial" w:hAnsi="Arial"/>
                <w:sz w:val="20"/>
                <w:szCs w:val="20"/>
              </w:rPr>
              <w:t>de</w:t>
            </w:r>
            <w:r>
              <w:rPr>
                <w:rFonts w:ascii="Arial" w:hAnsi="Arial"/>
                <w:spacing w:val="-2"/>
                <w:sz w:val="20"/>
                <w:szCs w:val="20"/>
              </w:rPr>
              <w:t xml:space="preserve"> </w:t>
            </w:r>
            <w:r>
              <w:rPr>
                <w:rFonts w:ascii="Arial" w:hAnsi="Arial"/>
                <w:sz w:val="20"/>
                <w:szCs w:val="20"/>
              </w:rPr>
              <w:t>jogos</w:t>
            </w:r>
            <w:r>
              <w:rPr>
                <w:rFonts w:ascii="Arial" w:hAnsi="Arial"/>
                <w:spacing w:val="-3"/>
                <w:sz w:val="20"/>
                <w:szCs w:val="20"/>
              </w:rPr>
              <w:t xml:space="preserve"> </w:t>
            </w:r>
            <w:r>
              <w:rPr>
                <w:rFonts w:ascii="Arial" w:hAnsi="Arial"/>
                <w:sz w:val="20"/>
                <w:szCs w:val="20"/>
              </w:rPr>
              <w:t>por</w:t>
            </w:r>
            <w:r>
              <w:rPr>
                <w:rFonts w:ascii="Arial" w:hAnsi="Arial"/>
                <w:spacing w:val="-2"/>
                <w:sz w:val="20"/>
                <w:szCs w:val="20"/>
              </w:rPr>
              <w:t xml:space="preserve"> </w:t>
            </w:r>
            <w:r>
              <w:rPr>
                <w:rFonts w:ascii="Arial" w:hAnsi="Arial"/>
                <w:sz w:val="20"/>
                <w:szCs w:val="20"/>
              </w:rPr>
              <w:t>conta</w:t>
            </w:r>
            <w:r>
              <w:rPr>
                <w:rFonts w:ascii="Arial" w:hAnsi="Arial"/>
                <w:spacing w:val="-2"/>
                <w:sz w:val="20"/>
                <w:szCs w:val="20"/>
              </w:rPr>
              <w:t xml:space="preserve"> </w:t>
            </w:r>
            <w:r>
              <w:rPr>
                <w:rFonts w:ascii="Arial" w:hAnsi="Arial"/>
                <w:sz w:val="20"/>
                <w:szCs w:val="20"/>
              </w:rPr>
              <w:t>da</w:t>
            </w:r>
          </w:p>
          <w:p>
            <w:pPr>
              <w:pStyle w:val="TableParagraph"/>
              <w:widowControl w:val="false"/>
              <w:spacing w:lineRule="exact" w:line="164"/>
              <w:ind w:left="86" w:right="0" w:hanging="0"/>
              <w:jc w:val="both"/>
              <w:rPr>
                <w:rFonts w:ascii="Arial" w:hAnsi="Arial"/>
                <w:sz w:val="20"/>
                <w:szCs w:val="20"/>
              </w:rPr>
            </w:pPr>
            <w:r>
              <w:rPr>
                <w:rFonts w:ascii="Arial" w:hAnsi="Arial"/>
                <w:sz w:val="20"/>
                <w:szCs w:val="20"/>
              </w:rPr>
              <w:t>empresa</w:t>
            </w:r>
            <w:r>
              <w:rPr>
                <w:rFonts w:ascii="Arial" w:hAnsi="Arial"/>
                <w:spacing w:val="-4"/>
                <w:sz w:val="20"/>
                <w:szCs w:val="20"/>
              </w:rPr>
              <w:t xml:space="preserve"> </w:t>
            </w:r>
            <w:r>
              <w:rPr>
                <w:rFonts w:ascii="Arial" w:hAnsi="Arial"/>
                <w:sz w:val="20"/>
                <w:szCs w:val="20"/>
              </w:rPr>
              <w:t>vencedora.</w:t>
            </w:r>
          </w:p>
        </w:tc>
        <w:tc>
          <w:tcPr>
            <w:tcW w:w="975"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Jogo</w:t>
            </w:r>
          </w:p>
        </w:tc>
        <w:tc>
          <w:tcPr>
            <w:tcW w:w="1471"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80</w:t>
            </w:r>
          </w:p>
        </w:tc>
        <w:tc>
          <w:tcPr>
            <w:tcW w:w="1634" w:type="dxa"/>
            <w:tcBorders>
              <w:left w:val="single" w:sz="4" w:space="0" w:color="000000"/>
              <w:bottom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R$ 276,73</w:t>
            </w:r>
          </w:p>
        </w:tc>
        <w:tc>
          <w:tcPr>
            <w:tcW w:w="1260" w:type="dxa"/>
            <w:tcBorders>
              <w:left w:val="single" w:sz="4" w:space="0" w:color="000000"/>
              <w:bottom w:val="single" w:sz="4" w:space="0" w:color="000000"/>
              <w:righ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R$ 22.138,40</w:t>
            </w:r>
          </w:p>
        </w:tc>
      </w:tr>
      <w:tr>
        <w:trPr/>
        <w:tc>
          <w:tcPr>
            <w:tcW w:w="900" w:type="dxa"/>
            <w:tcBorders>
              <w:left w:val="single" w:sz="4" w:space="0" w:color="000000"/>
              <w:bottom w:val="single" w:sz="4" w:space="0" w:color="000000"/>
            </w:tcBorders>
          </w:tcPr>
          <w:p>
            <w:pPr>
              <w:pStyle w:val="Contedodatabela"/>
              <w:widowControl w:val="false"/>
              <w:spacing w:before="0" w:after="0"/>
              <w:jc w:val="center"/>
              <w:rPr>
                <w:rFonts w:ascii="Arial" w:hAnsi="Arial"/>
                <w:b/>
                <w:b/>
                <w:bCs/>
              </w:rPr>
            </w:pPr>
            <w:r>
              <w:rPr>
                <w:rFonts w:eastAsia="NSimSun" w:cs="Arial" w:ascii="Arial" w:hAnsi="Arial"/>
                <w:b/>
                <w:bCs/>
                <w:kern w:val="0"/>
                <w:sz w:val="20"/>
                <w:szCs w:val="20"/>
              </w:rPr>
              <w:t>3</w:t>
            </w:r>
          </w:p>
        </w:tc>
        <w:tc>
          <w:tcPr>
            <w:tcW w:w="4754" w:type="dxa"/>
            <w:tcBorders>
              <w:left w:val="single" w:sz="4" w:space="0" w:color="000000"/>
              <w:bottom w:val="single" w:sz="4" w:space="0" w:color="000000"/>
            </w:tcBorders>
          </w:tcPr>
          <w:p>
            <w:pPr>
              <w:pStyle w:val="TableParagraph"/>
              <w:widowControl w:val="false"/>
              <w:spacing w:lineRule="auto" w:line="288" w:before="27" w:after="0"/>
              <w:ind w:left="86" w:right="138" w:hanging="0"/>
              <w:jc w:val="both"/>
              <w:rPr>
                <w:rFonts w:ascii="Arial" w:hAnsi="Arial"/>
                <w:sz w:val="20"/>
                <w:szCs w:val="20"/>
              </w:rPr>
            </w:pPr>
            <w:r>
              <w:rPr>
                <w:rFonts w:ascii="Arial" w:hAnsi="Arial"/>
                <w:sz w:val="20"/>
                <w:szCs w:val="20"/>
              </w:rPr>
              <w:t xml:space="preserve">Prestação de serviço de arbitragem de </w:t>
            </w:r>
            <w:r>
              <w:rPr>
                <w:rFonts w:ascii="Arial" w:hAnsi="Arial"/>
                <w:b/>
                <w:sz w:val="20"/>
                <w:szCs w:val="20"/>
              </w:rPr>
              <w:t xml:space="preserve">Campeonato Municipal de futebol Suiço </w:t>
            </w:r>
            <w:r>
              <w:rPr>
                <w:rFonts w:ascii="Arial" w:hAnsi="Arial"/>
                <w:b/>
                <w:bCs/>
                <w:spacing w:val="1"/>
                <w:sz w:val="20"/>
                <w:szCs w:val="20"/>
              </w:rPr>
              <w:t>Adulto, Masculino, Feminino e Veteranos</w:t>
            </w:r>
            <w:r>
              <w:rPr>
                <w:rFonts w:ascii="Arial" w:hAnsi="Arial"/>
                <w:b w:val="false"/>
                <w:bCs w:val="false"/>
                <w:spacing w:val="1"/>
                <w:sz w:val="20"/>
                <w:szCs w:val="20"/>
              </w:rPr>
              <w:t xml:space="preserve"> </w:t>
            </w:r>
            <w:r>
              <w:rPr>
                <w:rFonts w:ascii="Arial" w:hAnsi="Arial"/>
                <w:b/>
                <w:spacing w:val="1"/>
                <w:sz w:val="20"/>
                <w:szCs w:val="20"/>
              </w:rPr>
              <w:t xml:space="preserve"> </w:t>
            </w:r>
            <w:r>
              <w:rPr>
                <w:rFonts w:ascii="Arial" w:hAnsi="Arial"/>
                <w:sz w:val="20"/>
                <w:szCs w:val="20"/>
              </w:rPr>
              <w:t>conforme tabela a ser elaborada pela</w:t>
            </w:r>
            <w:r>
              <w:rPr>
                <w:rFonts w:ascii="Arial" w:hAnsi="Arial"/>
                <w:spacing w:val="1"/>
                <w:sz w:val="20"/>
                <w:szCs w:val="20"/>
              </w:rPr>
              <w:t xml:space="preserve"> Diretoria Municipal de </w:t>
            </w:r>
            <w:r>
              <w:rPr>
                <w:rFonts w:ascii="Arial" w:hAnsi="Arial"/>
                <w:sz w:val="20"/>
                <w:szCs w:val="20"/>
              </w:rPr>
              <w:t>Esportes,</w:t>
            </w:r>
            <w:r>
              <w:rPr>
                <w:rFonts w:ascii="Arial" w:hAnsi="Arial"/>
                <w:spacing w:val="1"/>
                <w:sz w:val="20"/>
                <w:szCs w:val="20"/>
              </w:rPr>
              <w:t xml:space="preserve"> </w:t>
            </w:r>
            <w:r>
              <w:rPr>
                <w:rFonts w:ascii="Arial" w:hAnsi="Arial"/>
                <w:sz w:val="20"/>
                <w:szCs w:val="20"/>
              </w:rPr>
              <w:t>confecção</w:t>
            </w:r>
            <w:r>
              <w:rPr>
                <w:rFonts w:ascii="Arial" w:hAnsi="Arial"/>
                <w:spacing w:val="1"/>
                <w:sz w:val="20"/>
                <w:szCs w:val="20"/>
              </w:rPr>
              <w:t xml:space="preserve"> </w:t>
            </w:r>
            <w:r>
              <w:rPr>
                <w:rFonts w:ascii="Arial" w:hAnsi="Arial"/>
                <w:sz w:val="20"/>
                <w:szCs w:val="20"/>
              </w:rPr>
              <w:t>de</w:t>
            </w:r>
            <w:r>
              <w:rPr>
                <w:rFonts w:ascii="Arial" w:hAnsi="Arial"/>
                <w:spacing w:val="1"/>
                <w:sz w:val="20"/>
                <w:szCs w:val="20"/>
              </w:rPr>
              <w:t xml:space="preserve"> </w:t>
            </w:r>
            <w:r>
              <w:rPr>
                <w:rFonts w:ascii="Arial" w:hAnsi="Arial"/>
                <w:sz w:val="20"/>
                <w:szCs w:val="20"/>
              </w:rPr>
              <w:t>súmula,</w:t>
            </w:r>
            <w:r>
              <w:rPr>
                <w:rFonts w:ascii="Arial" w:hAnsi="Arial"/>
                <w:spacing w:val="1"/>
                <w:sz w:val="20"/>
                <w:szCs w:val="20"/>
              </w:rPr>
              <w:t xml:space="preserve"> </w:t>
            </w:r>
            <w:r>
              <w:rPr>
                <w:rFonts w:ascii="Arial" w:hAnsi="Arial"/>
                <w:sz w:val="20"/>
                <w:szCs w:val="20"/>
              </w:rPr>
              <w:t>equipe</w:t>
            </w:r>
            <w:r>
              <w:rPr>
                <w:rFonts w:ascii="Arial" w:hAnsi="Arial"/>
                <w:spacing w:val="1"/>
                <w:sz w:val="20"/>
                <w:szCs w:val="20"/>
              </w:rPr>
              <w:t xml:space="preserve"> </w:t>
            </w:r>
            <w:r>
              <w:rPr>
                <w:rFonts w:ascii="Arial" w:hAnsi="Arial"/>
                <w:sz w:val="20"/>
                <w:szCs w:val="20"/>
              </w:rPr>
              <w:t>com</w:t>
            </w:r>
            <w:r>
              <w:rPr>
                <w:rFonts w:ascii="Arial" w:hAnsi="Arial"/>
                <w:spacing w:val="1"/>
                <w:sz w:val="20"/>
                <w:szCs w:val="20"/>
              </w:rPr>
              <w:t xml:space="preserve"> </w:t>
            </w:r>
            <w:r>
              <w:rPr>
                <w:rFonts w:ascii="Arial" w:hAnsi="Arial"/>
                <w:sz w:val="20"/>
                <w:szCs w:val="20"/>
              </w:rPr>
              <w:t>dois</w:t>
            </w:r>
            <w:r>
              <w:rPr>
                <w:rFonts w:ascii="Arial" w:hAnsi="Arial"/>
                <w:spacing w:val="1"/>
                <w:sz w:val="20"/>
                <w:szCs w:val="20"/>
              </w:rPr>
              <w:t xml:space="preserve"> </w:t>
            </w:r>
            <w:r>
              <w:rPr>
                <w:rFonts w:ascii="Arial" w:hAnsi="Arial"/>
                <w:sz w:val="20"/>
                <w:szCs w:val="20"/>
              </w:rPr>
              <w:t>árbitros</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um</w:t>
            </w:r>
            <w:r>
              <w:rPr>
                <w:rFonts w:ascii="Arial" w:hAnsi="Arial"/>
                <w:spacing w:val="1"/>
                <w:sz w:val="20"/>
                <w:szCs w:val="20"/>
              </w:rPr>
              <w:t xml:space="preserve"> </w:t>
            </w:r>
            <w:r>
              <w:rPr>
                <w:rFonts w:ascii="Arial" w:hAnsi="Arial"/>
                <w:sz w:val="20"/>
                <w:szCs w:val="20"/>
              </w:rPr>
              <w:t>membro como anotador e cronometrista. Fazer os controles</w:t>
            </w:r>
            <w:r>
              <w:rPr>
                <w:rFonts w:ascii="Arial" w:hAnsi="Arial"/>
                <w:spacing w:val="-42"/>
                <w:sz w:val="20"/>
                <w:szCs w:val="20"/>
              </w:rPr>
              <w:t xml:space="preserve"> </w:t>
            </w:r>
            <w:r>
              <w:rPr>
                <w:rFonts w:ascii="Arial" w:hAnsi="Arial"/>
                <w:sz w:val="20"/>
                <w:szCs w:val="20"/>
              </w:rPr>
              <w:t>de</w:t>
            </w:r>
            <w:r>
              <w:rPr>
                <w:rFonts w:ascii="Arial" w:hAnsi="Arial"/>
                <w:spacing w:val="1"/>
                <w:sz w:val="20"/>
                <w:szCs w:val="20"/>
              </w:rPr>
              <w:t xml:space="preserve"> </w:t>
            </w:r>
            <w:r>
              <w:rPr>
                <w:rFonts w:ascii="Arial" w:hAnsi="Arial"/>
                <w:sz w:val="20"/>
                <w:szCs w:val="20"/>
              </w:rPr>
              <w:t>Pontos,</w:t>
            </w:r>
            <w:r>
              <w:rPr>
                <w:rFonts w:ascii="Arial" w:hAnsi="Arial"/>
                <w:spacing w:val="1"/>
                <w:sz w:val="20"/>
                <w:szCs w:val="20"/>
              </w:rPr>
              <w:t xml:space="preserve"> </w:t>
            </w:r>
            <w:r>
              <w:rPr>
                <w:rFonts w:ascii="Arial" w:hAnsi="Arial"/>
                <w:sz w:val="20"/>
                <w:szCs w:val="20"/>
              </w:rPr>
              <w:t>cruzamento,</w:t>
            </w:r>
            <w:r>
              <w:rPr>
                <w:rFonts w:ascii="Arial" w:hAnsi="Arial"/>
                <w:spacing w:val="1"/>
                <w:sz w:val="20"/>
                <w:szCs w:val="20"/>
              </w:rPr>
              <w:t xml:space="preserve"> </w:t>
            </w:r>
            <w:r>
              <w:rPr>
                <w:rFonts w:ascii="Arial" w:hAnsi="Arial"/>
                <w:sz w:val="20"/>
                <w:szCs w:val="20"/>
              </w:rPr>
              <w:t>classificação,</w:t>
            </w:r>
            <w:r>
              <w:rPr>
                <w:rFonts w:ascii="Arial" w:hAnsi="Arial"/>
                <w:spacing w:val="1"/>
                <w:sz w:val="20"/>
                <w:szCs w:val="20"/>
              </w:rPr>
              <w:t xml:space="preserve"> </w:t>
            </w:r>
            <w:r>
              <w:rPr>
                <w:rFonts w:ascii="Arial" w:hAnsi="Arial"/>
                <w:sz w:val="20"/>
                <w:szCs w:val="20"/>
              </w:rPr>
              <w:t>cartões,</w:t>
            </w:r>
            <w:r>
              <w:rPr>
                <w:rFonts w:ascii="Arial" w:hAnsi="Arial"/>
                <w:spacing w:val="1"/>
                <w:sz w:val="20"/>
                <w:szCs w:val="20"/>
              </w:rPr>
              <w:t xml:space="preserve"> </w:t>
            </w:r>
            <w:r>
              <w:rPr>
                <w:rFonts w:ascii="Arial" w:hAnsi="Arial"/>
                <w:sz w:val="20"/>
                <w:szCs w:val="20"/>
              </w:rPr>
              <w:t>goleador,</w:t>
            </w:r>
            <w:r>
              <w:rPr>
                <w:rFonts w:ascii="Arial" w:hAnsi="Arial"/>
                <w:spacing w:val="-42"/>
                <w:sz w:val="20"/>
                <w:szCs w:val="20"/>
              </w:rPr>
              <w:t xml:space="preserve"> </w:t>
            </w:r>
            <w:r>
              <w:rPr>
                <w:rFonts w:ascii="Arial" w:hAnsi="Arial"/>
                <w:spacing w:val="-1"/>
                <w:sz w:val="20"/>
                <w:szCs w:val="20"/>
              </w:rPr>
              <w:t>defesa</w:t>
            </w:r>
            <w:r>
              <w:rPr>
                <w:rFonts w:ascii="Arial" w:hAnsi="Arial"/>
                <w:spacing w:val="-10"/>
                <w:sz w:val="20"/>
                <w:szCs w:val="20"/>
              </w:rPr>
              <w:t xml:space="preserve"> </w:t>
            </w:r>
            <w:r>
              <w:rPr>
                <w:rFonts w:ascii="Arial" w:hAnsi="Arial"/>
                <w:spacing w:val="-1"/>
                <w:sz w:val="20"/>
                <w:szCs w:val="20"/>
              </w:rPr>
              <w:t>menos</w:t>
            </w:r>
            <w:r>
              <w:rPr>
                <w:rFonts w:ascii="Arial" w:hAnsi="Arial"/>
                <w:spacing w:val="-8"/>
                <w:sz w:val="20"/>
                <w:szCs w:val="20"/>
              </w:rPr>
              <w:t xml:space="preserve"> </w:t>
            </w:r>
            <w:r>
              <w:rPr>
                <w:rFonts w:ascii="Arial" w:hAnsi="Arial"/>
                <w:spacing w:val="-1"/>
                <w:sz w:val="20"/>
                <w:szCs w:val="20"/>
              </w:rPr>
              <w:t>vazada</w:t>
            </w:r>
            <w:r>
              <w:rPr>
                <w:rFonts w:ascii="Arial" w:hAnsi="Arial"/>
                <w:spacing w:val="-7"/>
                <w:sz w:val="20"/>
                <w:szCs w:val="20"/>
              </w:rPr>
              <w:t xml:space="preserve"> </w:t>
            </w:r>
            <w:r>
              <w:rPr>
                <w:rFonts w:ascii="Arial" w:hAnsi="Arial"/>
                <w:spacing w:val="-1"/>
                <w:sz w:val="20"/>
                <w:szCs w:val="20"/>
              </w:rPr>
              <w:t>e</w:t>
            </w:r>
            <w:r>
              <w:rPr>
                <w:rFonts w:ascii="Arial" w:hAnsi="Arial"/>
                <w:spacing w:val="-10"/>
                <w:sz w:val="20"/>
                <w:szCs w:val="20"/>
              </w:rPr>
              <w:t xml:space="preserve"> </w:t>
            </w:r>
            <w:r>
              <w:rPr>
                <w:rFonts w:ascii="Arial" w:hAnsi="Arial"/>
                <w:spacing w:val="-1"/>
                <w:sz w:val="20"/>
                <w:szCs w:val="20"/>
              </w:rPr>
              <w:t>equipe</w:t>
            </w:r>
            <w:r>
              <w:rPr>
                <w:rFonts w:ascii="Arial" w:hAnsi="Arial"/>
                <w:spacing w:val="-7"/>
                <w:sz w:val="20"/>
                <w:szCs w:val="20"/>
              </w:rPr>
              <w:t xml:space="preserve"> </w:t>
            </w:r>
            <w:r>
              <w:rPr>
                <w:rFonts w:ascii="Arial" w:hAnsi="Arial"/>
                <w:sz w:val="20"/>
                <w:szCs w:val="20"/>
              </w:rPr>
              <w:t>mais</w:t>
            </w:r>
            <w:r>
              <w:rPr>
                <w:rFonts w:ascii="Arial" w:hAnsi="Arial"/>
                <w:spacing w:val="-5"/>
                <w:sz w:val="20"/>
                <w:szCs w:val="20"/>
              </w:rPr>
              <w:t xml:space="preserve"> </w:t>
            </w:r>
            <w:r>
              <w:rPr>
                <w:rFonts w:ascii="Arial" w:hAnsi="Arial"/>
                <w:sz w:val="20"/>
                <w:szCs w:val="20"/>
              </w:rPr>
              <w:t>disciplinada,</w:t>
            </w:r>
            <w:r>
              <w:rPr>
                <w:rFonts w:ascii="Arial" w:hAnsi="Arial"/>
                <w:spacing w:val="-8"/>
                <w:sz w:val="20"/>
                <w:szCs w:val="20"/>
              </w:rPr>
              <w:t xml:space="preserve"> </w:t>
            </w:r>
            <w:r>
              <w:rPr>
                <w:rFonts w:ascii="Arial" w:hAnsi="Arial"/>
                <w:sz w:val="20"/>
                <w:szCs w:val="20"/>
              </w:rPr>
              <w:t>através</w:t>
            </w:r>
            <w:r>
              <w:rPr>
                <w:rFonts w:ascii="Arial" w:hAnsi="Arial"/>
                <w:spacing w:val="-8"/>
                <w:sz w:val="20"/>
                <w:szCs w:val="20"/>
              </w:rPr>
              <w:t xml:space="preserve"> </w:t>
            </w:r>
            <w:r>
              <w:rPr>
                <w:rFonts w:ascii="Arial" w:hAnsi="Arial"/>
                <w:sz w:val="20"/>
                <w:szCs w:val="20"/>
              </w:rPr>
              <w:t>de</w:t>
            </w:r>
            <w:r>
              <w:rPr>
                <w:rFonts w:ascii="Arial" w:hAnsi="Arial"/>
                <w:spacing w:val="-42"/>
                <w:sz w:val="20"/>
                <w:szCs w:val="20"/>
              </w:rPr>
              <w:t xml:space="preserve"> </w:t>
            </w:r>
            <w:r>
              <w:rPr>
                <w:rFonts w:ascii="Arial" w:hAnsi="Arial"/>
                <w:sz w:val="20"/>
                <w:szCs w:val="20"/>
              </w:rPr>
              <w:t>site ou aplicativo modo público, devendo ser atualizado com</w:t>
            </w:r>
            <w:r>
              <w:rPr>
                <w:rFonts w:ascii="Arial" w:hAnsi="Arial"/>
                <w:spacing w:val="-43"/>
                <w:sz w:val="20"/>
                <w:szCs w:val="20"/>
              </w:rPr>
              <w:t xml:space="preserve"> </w:t>
            </w:r>
            <w:r>
              <w:rPr>
                <w:rFonts w:ascii="Arial" w:hAnsi="Arial"/>
                <w:sz w:val="20"/>
                <w:szCs w:val="20"/>
              </w:rPr>
              <w:t>no máximo 48 horas após realização da partida, repassar</w:t>
            </w:r>
            <w:r>
              <w:rPr>
                <w:rFonts w:ascii="Arial" w:hAnsi="Arial"/>
                <w:spacing w:val="1"/>
                <w:sz w:val="20"/>
                <w:szCs w:val="20"/>
              </w:rPr>
              <w:t xml:space="preserve"> </w:t>
            </w:r>
            <w:r>
              <w:rPr>
                <w:rFonts w:ascii="Arial" w:hAnsi="Arial"/>
                <w:sz w:val="20"/>
                <w:szCs w:val="20"/>
              </w:rPr>
              <w:t>relatórios</w:t>
            </w:r>
            <w:r>
              <w:rPr>
                <w:rFonts w:ascii="Arial" w:hAnsi="Arial"/>
                <w:spacing w:val="1"/>
                <w:sz w:val="20"/>
                <w:szCs w:val="20"/>
              </w:rPr>
              <w:t xml:space="preserve"> </w:t>
            </w:r>
            <w:r>
              <w:rPr>
                <w:rFonts w:ascii="Arial" w:hAnsi="Arial"/>
                <w:sz w:val="20"/>
                <w:szCs w:val="20"/>
              </w:rPr>
              <w:t>após</w:t>
            </w:r>
            <w:r>
              <w:rPr>
                <w:rFonts w:ascii="Arial" w:hAnsi="Arial"/>
                <w:spacing w:val="1"/>
                <w:sz w:val="20"/>
                <w:szCs w:val="20"/>
              </w:rPr>
              <w:t xml:space="preserve"> </w:t>
            </w:r>
            <w:r>
              <w:rPr>
                <w:rFonts w:ascii="Arial" w:hAnsi="Arial"/>
                <w:sz w:val="20"/>
                <w:szCs w:val="20"/>
              </w:rPr>
              <w:t>cada</w:t>
            </w:r>
            <w:r>
              <w:rPr>
                <w:rFonts w:ascii="Arial" w:hAnsi="Arial"/>
                <w:spacing w:val="1"/>
                <w:sz w:val="20"/>
                <w:szCs w:val="20"/>
              </w:rPr>
              <w:t xml:space="preserve"> </w:t>
            </w:r>
            <w:r>
              <w:rPr>
                <w:rFonts w:ascii="Arial" w:hAnsi="Arial"/>
                <w:sz w:val="20"/>
                <w:szCs w:val="20"/>
              </w:rPr>
              <w:t>rodada,</w:t>
            </w:r>
            <w:r>
              <w:rPr>
                <w:rFonts w:ascii="Arial" w:hAnsi="Arial"/>
                <w:spacing w:val="1"/>
                <w:sz w:val="20"/>
                <w:szCs w:val="20"/>
              </w:rPr>
              <w:t xml:space="preserve"> </w:t>
            </w:r>
            <w:r>
              <w:rPr>
                <w:rFonts w:ascii="Arial" w:hAnsi="Arial"/>
                <w:sz w:val="20"/>
                <w:szCs w:val="20"/>
              </w:rPr>
              <w:t>comissão</w:t>
            </w:r>
            <w:r>
              <w:rPr>
                <w:rFonts w:ascii="Arial" w:hAnsi="Arial"/>
                <w:spacing w:val="1"/>
                <w:sz w:val="20"/>
                <w:szCs w:val="20"/>
              </w:rPr>
              <w:t xml:space="preserve"> </w:t>
            </w:r>
            <w:r>
              <w:rPr>
                <w:rFonts w:ascii="Arial" w:hAnsi="Arial"/>
                <w:sz w:val="20"/>
                <w:szCs w:val="20"/>
              </w:rPr>
              <w:t>disciplinar</w:t>
            </w:r>
            <w:r>
              <w:rPr>
                <w:rFonts w:ascii="Arial" w:hAnsi="Arial"/>
                <w:spacing w:val="1"/>
                <w:sz w:val="20"/>
                <w:szCs w:val="20"/>
              </w:rPr>
              <w:t xml:space="preserve"> </w:t>
            </w:r>
            <w:r>
              <w:rPr>
                <w:rFonts w:ascii="Arial" w:hAnsi="Arial"/>
                <w:sz w:val="20"/>
                <w:szCs w:val="20"/>
              </w:rPr>
              <w:t>com</w:t>
            </w:r>
            <w:r>
              <w:rPr>
                <w:rFonts w:ascii="Arial" w:hAnsi="Arial"/>
                <w:spacing w:val="1"/>
                <w:sz w:val="20"/>
                <w:szCs w:val="20"/>
              </w:rPr>
              <w:t xml:space="preserve"> </w:t>
            </w:r>
            <w:r>
              <w:rPr>
                <w:rFonts w:ascii="Arial" w:hAnsi="Arial"/>
                <w:sz w:val="20"/>
                <w:szCs w:val="20"/>
              </w:rPr>
              <w:t>advogado e demais componentes parar fazer julgamentos</w:t>
            </w:r>
            <w:r>
              <w:rPr>
                <w:rFonts w:ascii="Arial" w:hAnsi="Arial"/>
                <w:spacing w:val="1"/>
                <w:sz w:val="20"/>
                <w:szCs w:val="20"/>
              </w:rPr>
              <w:t xml:space="preserve"> </w:t>
            </w:r>
            <w:r>
              <w:rPr>
                <w:rFonts w:ascii="Arial" w:hAnsi="Arial"/>
                <w:sz w:val="20"/>
                <w:szCs w:val="20"/>
              </w:rPr>
              <w:t>de</w:t>
            </w:r>
            <w:r>
              <w:rPr>
                <w:rFonts w:ascii="Arial" w:hAnsi="Arial"/>
                <w:spacing w:val="-7"/>
                <w:sz w:val="20"/>
                <w:szCs w:val="20"/>
              </w:rPr>
              <w:t xml:space="preserve"> </w:t>
            </w:r>
            <w:r>
              <w:rPr>
                <w:rFonts w:ascii="Arial" w:hAnsi="Arial"/>
                <w:sz w:val="20"/>
                <w:szCs w:val="20"/>
              </w:rPr>
              <w:t>incidentes</w:t>
            </w:r>
            <w:r>
              <w:rPr>
                <w:rFonts w:ascii="Arial" w:hAnsi="Arial"/>
                <w:spacing w:val="-5"/>
                <w:sz w:val="20"/>
                <w:szCs w:val="20"/>
              </w:rPr>
              <w:t xml:space="preserve"> </w:t>
            </w:r>
            <w:r>
              <w:rPr>
                <w:rFonts w:ascii="Arial" w:hAnsi="Arial"/>
                <w:sz w:val="20"/>
                <w:szCs w:val="20"/>
              </w:rPr>
              <w:t>que</w:t>
            </w:r>
            <w:r>
              <w:rPr>
                <w:rFonts w:ascii="Arial" w:hAnsi="Arial"/>
                <w:spacing w:val="-7"/>
                <w:sz w:val="20"/>
                <w:szCs w:val="20"/>
              </w:rPr>
              <w:t xml:space="preserve"> </w:t>
            </w:r>
            <w:r>
              <w:rPr>
                <w:rFonts w:ascii="Arial" w:hAnsi="Arial"/>
                <w:sz w:val="20"/>
                <w:szCs w:val="20"/>
              </w:rPr>
              <w:t>venham</w:t>
            </w:r>
            <w:r>
              <w:rPr>
                <w:rFonts w:ascii="Arial" w:hAnsi="Arial"/>
                <w:spacing w:val="-6"/>
                <w:sz w:val="20"/>
                <w:szCs w:val="20"/>
              </w:rPr>
              <w:t xml:space="preserve"> </w:t>
            </w:r>
            <w:r>
              <w:rPr>
                <w:rFonts w:ascii="Arial" w:hAnsi="Arial"/>
                <w:sz w:val="20"/>
                <w:szCs w:val="20"/>
              </w:rPr>
              <w:t>a</w:t>
            </w:r>
            <w:r>
              <w:rPr>
                <w:rFonts w:ascii="Arial" w:hAnsi="Arial"/>
                <w:spacing w:val="-6"/>
                <w:sz w:val="20"/>
                <w:szCs w:val="20"/>
              </w:rPr>
              <w:t xml:space="preserve"> </w:t>
            </w:r>
            <w:r>
              <w:rPr>
                <w:rFonts w:ascii="Arial" w:hAnsi="Arial"/>
                <w:sz w:val="20"/>
                <w:szCs w:val="20"/>
              </w:rPr>
              <w:t>ocorrer.</w:t>
            </w:r>
            <w:r>
              <w:rPr>
                <w:rFonts w:ascii="Arial" w:hAnsi="Arial"/>
                <w:spacing w:val="-5"/>
                <w:sz w:val="20"/>
                <w:szCs w:val="20"/>
              </w:rPr>
              <w:t xml:space="preserve"> </w:t>
            </w:r>
            <w:r>
              <w:rPr>
                <w:rFonts w:ascii="Arial" w:hAnsi="Arial"/>
                <w:sz w:val="20"/>
                <w:szCs w:val="20"/>
              </w:rPr>
              <w:t>Deve</w:t>
            </w:r>
            <w:r>
              <w:rPr>
                <w:rFonts w:ascii="Arial" w:hAnsi="Arial"/>
                <w:spacing w:val="-7"/>
                <w:sz w:val="20"/>
                <w:szCs w:val="20"/>
              </w:rPr>
              <w:t xml:space="preserve"> </w:t>
            </w:r>
            <w:r>
              <w:rPr>
                <w:rFonts w:ascii="Arial" w:hAnsi="Arial"/>
                <w:sz w:val="20"/>
                <w:szCs w:val="20"/>
              </w:rPr>
              <w:t>ter</w:t>
            </w:r>
            <w:r>
              <w:rPr>
                <w:rFonts w:ascii="Arial" w:hAnsi="Arial"/>
                <w:spacing w:val="-7"/>
                <w:sz w:val="20"/>
                <w:szCs w:val="20"/>
              </w:rPr>
              <w:t xml:space="preserve"> </w:t>
            </w:r>
            <w:r>
              <w:rPr>
                <w:rFonts w:ascii="Arial" w:hAnsi="Arial"/>
                <w:sz w:val="20"/>
                <w:szCs w:val="20"/>
              </w:rPr>
              <w:t>no</w:t>
            </w:r>
            <w:r>
              <w:rPr>
                <w:rFonts w:ascii="Arial" w:hAnsi="Arial"/>
                <w:spacing w:val="-8"/>
                <w:sz w:val="20"/>
                <w:szCs w:val="20"/>
              </w:rPr>
              <w:t xml:space="preserve"> </w:t>
            </w:r>
            <w:r>
              <w:rPr>
                <w:rFonts w:ascii="Arial" w:hAnsi="Arial"/>
                <w:sz w:val="20"/>
                <w:szCs w:val="20"/>
              </w:rPr>
              <w:t>mínimo</w:t>
            </w:r>
            <w:r>
              <w:rPr>
                <w:rFonts w:ascii="Arial" w:hAnsi="Arial"/>
                <w:spacing w:val="-6"/>
                <w:sz w:val="20"/>
                <w:szCs w:val="20"/>
              </w:rPr>
              <w:t xml:space="preserve"> </w:t>
            </w:r>
            <w:r>
              <w:rPr>
                <w:rFonts w:ascii="Arial" w:hAnsi="Arial"/>
                <w:sz w:val="20"/>
                <w:szCs w:val="20"/>
              </w:rPr>
              <w:t>um (1)</w:t>
            </w:r>
            <w:r>
              <w:rPr>
                <w:rFonts w:ascii="Arial" w:hAnsi="Arial"/>
                <w:spacing w:val="10"/>
                <w:sz w:val="20"/>
                <w:szCs w:val="20"/>
              </w:rPr>
              <w:t xml:space="preserve"> </w:t>
            </w:r>
            <w:r>
              <w:rPr>
                <w:rFonts w:ascii="Arial" w:hAnsi="Arial"/>
                <w:sz w:val="20"/>
                <w:szCs w:val="20"/>
              </w:rPr>
              <w:t>árbitros</w:t>
            </w:r>
            <w:r>
              <w:rPr>
                <w:rFonts w:ascii="Arial" w:hAnsi="Arial"/>
                <w:spacing w:val="13"/>
                <w:sz w:val="20"/>
                <w:szCs w:val="20"/>
              </w:rPr>
              <w:t xml:space="preserve"> </w:t>
            </w:r>
            <w:r>
              <w:rPr>
                <w:rFonts w:ascii="Arial" w:hAnsi="Arial"/>
                <w:sz w:val="20"/>
                <w:szCs w:val="20"/>
              </w:rPr>
              <w:t>federado.</w:t>
            </w:r>
            <w:r>
              <w:rPr>
                <w:rFonts w:ascii="Arial" w:hAnsi="Arial"/>
                <w:spacing w:val="12"/>
                <w:sz w:val="20"/>
                <w:szCs w:val="20"/>
              </w:rPr>
              <w:t xml:space="preserve"> </w:t>
            </w:r>
            <w:r>
              <w:rPr>
                <w:rFonts w:ascii="Arial" w:hAnsi="Arial"/>
                <w:sz w:val="20"/>
                <w:szCs w:val="20"/>
              </w:rPr>
              <w:t>Deslocamento</w:t>
            </w:r>
            <w:r>
              <w:rPr>
                <w:rFonts w:ascii="Arial" w:hAnsi="Arial"/>
                <w:spacing w:val="11"/>
                <w:sz w:val="20"/>
                <w:szCs w:val="20"/>
              </w:rPr>
              <w:t xml:space="preserve"> </w:t>
            </w:r>
            <w:r>
              <w:rPr>
                <w:rFonts w:ascii="Arial" w:hAnsi="Arial"/>
                <w:sz w:val="20"/>
                <w:szCs w:val="20"/>
              </w:rPr>
              <w:t>até</w:t>
            </w:r>
            <w:r>
              <w:rPr>
                <w:rFonts w:ascii="Arial" w:hAnsi="Arial"/>
                <w:spacing w:val="11"/>
                <w:sz w:val="20"/>
                <w:szCs w:val="20"/>
              </w:rPr>
              <w:t xml:space="preserve"> </w:t>
            </w:r>
            <w:r>
              <w:rPr>
                <w:rFonts w:ascii="Arial" w:hAnsi="Arial"/>
                <w:sz w:val="20"/>
                <w:szCs w:val="20"/>
              </w:rPr>
              <w:t>os</w:t>
            </w:r>
            <w:r>
              <w:rPr>
                <w:rFonts w:ascii="Arial" w:hAnsi="Arial"/>
                <w:spacing w:val="12"/>
                <w:sz w:val="20"/>
                <w:szCs w:val="20"/>
              </w:rPr>
              <w:t xml:space="preserve"> </w:t>
            </w:r>
            <w:r>
              <w:rPr>
                <w:rFonts w:ascii="Arial" w:hAnsi="Arial"/>
                <w:sz w:val="20"/>
                <w:szCs w:val="20"/>
              </w:rPr>
              <w:t>locais</w:t>
            </w:r>
            <w:r>
              <w:rPr>
                <w:rFonts w:ascii="Arial" w:hAnsi="Arial"/>
                <w:spacing w:val="11"/>
                <w:sz w:val="20"/>
                <w:szCs w:val="20"/>
              </w:rPr>
              <w:t xml:space="preserve"> </w:t>
            </w:r>
            <w:r>
              <w:rPr>
                <w:rFonts w:ascii="Arial" w:hAnsi="Arial"/>
                <w:sz w:val="20"/>
                <w:szCs w:val="20"/>
              </w:rPr>
              <w:t>de</w:t>
            </w:r>
            <w:r>
              <w:rPr>
                <w:rFonts w:ascii="Arial" w:hAnsi="Arial"/>
                <w:spacing w:val="10"/>
                <w:sz w:val="20"/>
                <w:szCs w:val="20"/>
              </w:rPr>
              <w:t xml:space="preserve"> </w:t>
            </w:r>
            <w:r>
              <w:rPr>
                <w:rFonts w:ascii="Arial" w:hAnsi="Arial"/>
                <w:sz w:val="20"/>
                <w:szCs w:val="20"/>
              </w:rPr>
              <w:t>jogos por</w:t>
            </w:r>
            <w:r>
              <w:rPr>
                <w:rFonts w:ascii="Arial" w:hAnsi="Arial"/>
                <w:spacing w:val="-1"/>
                <w:sz w:val="20"/>
                <w:szCs w:val="20"/>
              </w:rPr>
              <w:t xml:space="preserve"> </w:t>
            </w:r>
            <w:r>
              <w:rPr>
                <w:rFonts w:ascii="Arial" w:hAnsi="Arial"/>
                <w:sz w:val="20"/>
                <w:szCs w:val="20"/>
              </w:rPr>
              <w:t>conta</w:t>
            </w:r>
            <w:r>
              <w:rPr>
                <w:rFonts w:ascii="Arial" w:hAnsi="Arial"/>
                <w:spacing w:val="-1"/>
                <w:sz w:val="20"/>
                <w:szCs w:val="20"/>
              </w:rPr>
              <w:t xml:space="preserve"> </w:t>
            </w:r>
            <w:r>
              <w:rPr>
                <w:rFonts w:ascii="Arial" w:hAnsi="Arial"/>
                <w:sz w:val="20"/>
                <w:szCs w:val="20"/>
              </w:rPr>
              <w:t>da</w:t>
            </w:r>
            <w:r>
              <w:rPr>
                <w:rFonts w:ascii="Arial" w:hAnsi="Arial"/>
                <w:spacing w:val="-4"/>
                <w:sz w:val="20"/>
                <w:szCs w:val="20"/>
              </w:rPr>
              <w:t xml:space="preserve"> </w:t>
            </w:r>
            <w:r>
              <w:rPr>
                <w:rFonts w:ascii="Arial" w:hAnsi="Arial"/>
                <w:sz w:val="20"/>
                <w:szCs w:val="20"/>
              </w:rPr>
              <w:t>empresa</w:t>
            </w:r>
            <w:r>
              <w:rPr>
                <w:rFonts w:ascii="Arial" w:hAnsi="Arial"/>
                <w:spacing w:val="-5"/>
                <w:sz w:val="20"/>
                <w:szCs w:val="20"/>
              </w:rPr>
              <w:t xml:space="preserve"> </w:t>
            </w:r>
            <w:r>
              <w:rPr>
                <w:rFonts w:ascii="Arial" w:hAnsi="Arial"/>
                <w:sz w:val="20"/>
                <w:szCs w:val="20"/>
              </w:rPr>
              <w:t>vencedora.</w:t>
            </w:r>
          </w:p>
        </w:tc>
        <w:tc>
          <w:tcPr>
            <w:tcW w:w="975"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Jogo</w:t>
            </w:r>
          </w:p>
        </w:tc>
        <w:tc>
          <w:tcPr>
            <w:tcW w:w="1471" w:type="dxa"/>
            <w:tcBorders>
              <w:left w:val="single" w:sz="4" w:space="0" w:color="000000"/>
              <w:bottom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80</w:t>
            </w:r>
          </w:p>
        </w:tc>
        <w:tc>
          <w:tcPr>
            <w:tcW w:w="1634" w:type="dxa"/>
            <w:tcBorders>
              <w:left w:val="single" w:sz="4" w:space="0" w:color="000000"/>
              <w:bottom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R$ 649,17</w:t>
            </w:r>
          </w:p>
        </w:tc>
        <w:tc>
          <w:tcPr>
            <w:tcW w:w="1260" w:type="dxa"/>
            <w:tcBorders>
              <w:left w:val="single" w:sz="4" w:space="0" w:color="000000"/>
              <w:bottom w:val="single" w:sz="4" w:space="0" w:color="000000"/>
              <w:righ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R$ 51.933,60</w:t>
            </w:r>
          </w:p>
        </w:tc>
      </w:tr>
      <w:tr>
        <w:trPr/>
        <w:tc>
          <w:tcPr>
            <w:tcW w:w="900" w:type="dxa"/>
            <w:tcBorders>
              <w:left w:val="single" w:sz="4" w:space="0" w:color="000000"/>
            </w:tcBorders>
          </w:tcPr>
          <w:p>
            <w:pPr>
              <w:pStyle w:val="Contedodatabela"/>
              <w:widowControl w:val="false"/>
              <w:spacing w:before="0" w:after="0"/>
              <w:jc w:val="center"/>
              <w:rPr>
                <w:rFonts w:ascii="Arial" w:hAnsi="Arial"/>
                <w:b/>
                <w:b/>
                <w:bCs/>
              </w:rPr>
            </w:pPr>
            <w:r>
              <w:rPr>
                <w:rFonts w:eastAsia="NSimSun" w:cs="Arial" w:ascii="Arial" w:hAnsi="Arial"/>
                <w:b/>
                <w:bCs/>
                <w:kern w:val="0"/>
                <w:sz w:val="20"/>
                <w:szCs w:val="20"/>
              </w:rPr>
              <w:t>4</w:t>
            </w:r>
          </w:p>
        </w:tc>
        <w:tc>
          <w:tcPr>
            <w:tcW w:w="4754" w:type="dxa"/>
            <w:tcBorders>
              <w:left w:val="single" w:sz="4" w:space="0" w:color="000000"/>
            </w:tcBorders>
          </w:tcPr>
          <w:p>
            <w:pPr>
              <w:pStyle w:val="Contedodatabela"/>
              <w:widowControl w:val="false"/>
              <w:spacing w:before="0" w:after="0"/>
              <w:jc w:val="both"/>
              <w:rPr>
                <w:rFonts w:ascii="Arial" w:hAnsi="Arial"/>
                <w:sz w:val="20"/>
                <w:szCs w:val="20"/>
              </w:rPr>
            </w:pPr>
            <w:r>
              <w:rPr>
                <w:rFonts w:eastAsia="NSimSun" w:cs="Arial" w:ascii="Arial" w:hAnsi="Arial"/>
                <w:kern w:val="0"/>
                <w:sz w:val="20"/>
                <w:szCs w:val="20"/>
              </w:rPr>
              <w:t>Diárias de arbitragem para Campeonatos Regionais de categorias de base e adulto, amistosos, Campeonatos Municipais de Futsal, Futebol, Futebol Suiço, Futêvolei, Voleibol, Vôlei de Areia, Bocha e Bolão, bem como Olimpíadas Municipais, que possam vir ocorrer durante o ano de 2025.</w:t>
            </w:r>
          </w:p>
        </w:tc>
        <w:tc>
          <w:tcPr>
            <w:tcW w:w="975" w:type="dxa"/>
            <w:tcBorders>
              <w:left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Dia</w:t>
            </w:r>
          </w:p>
        </w:tc>
        <w:tc>
          <w:tcPr>
            <w:tcW w:w="1471" w:type="dxa"/>
            <w:tcBorders>
              <w:left w:val="single" w:sz="4" w:space="0" w:color="000000"/>
            </w:tcBorders>
          </w:tcPr>
          <w:p>
            <w:pPr>
              <w:pStyle w:val="Contedodatabela"/>
              <w:widowControl w:val="false"/>
              <w:spacing w:before="0" w:after="0"/>
              <w:jc w:val="center"/>
              <w:rPr>
                <w:rFonts w:ascii="Arial" w:hAnsi="Arial"/>
              </w:rPr>
            </w:pPr>
            <w:r>
              <w:rPr>
                <w:rFonts w:eastAsia="NSimSun" w:cs="Arial" w:ascii="Arial" w:hAnsi="Arial"/>
                <w:kern w:val="0"/>
                <w:sz w:val="20"/>
                <w:szCs w:val="20"/>
              </w:rPr>
              <w:t>40</w:t>
            </w:r>
          </w:p>
        </w:tc>
        <w:tc>
          <w:tcPr>
            <w:tcW w:w="1634" w:type="dxa"/>
            <w:tcBorders>
              <w:lef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R$ 299,48</w:t>
            </w:r>
          </w:p>
        </w:tc>
        <w:tc>
          <w:tcPr>
            <w:tcW w:w="1260" w:type="dxa"/>
            <w:tcBorders>
              <w:left w:val="single" w:sz="4" w:space="0" w:color="000000"/>
              <w:righ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rPr>
            </w:pPr>
            <w:r>
              <w:rPr>
                <w:rFonts w:eastAsia="NSimSun" w:cs="Arial" w:ascii="Arial" w:hAnsi="Arial"/>
                <w:kern w:val="0"/>
                <w:sz w:val="21"/>
                <w:szCs w:val="21"/>
              </w:rPr>
              <w:t>R$ 11.979,20</w:t>
            </w:r>
          </w:p>
        </w:tc>
      </w:tr>
      <w:tr>
        <w:trPr/>
        <w:tc>
          <w:tcPr>
            <w:tcW w:w="900" w:type="dxa"/>
            <w:tcBorders>
              <w:left w:val="single" w:sz="4" w:space="0" w:color="000000"/>
              <w:bottom w:val="single" w:sz="4" w:space="0" w:color="000000"/>
            </w:tcBorders>
          </w:tcPr>
          <w:p>
            <w:pPr>
              <w:pStyle w:val="Contedodatabela"/>
              <w:widowControl w:val="false"/>
              <w:spacing w:before="0" w:after="0"/>
              <w:jc w:val="center"/>
              <w:rPr>
                <w:rFonts w:ascii="Arial" w:hAnsi="Arial"/>
                <w:b/>
                <w:b/>
                <w:bCs/>
              </w:rPr>
            </w:pPr>
            <w:r>
              <w:rPr>
                <w:rFonts w:ascii="Arial" w:hAnsi="Arial"/>
                <w:b/>
                <w:bCs/>
              </w:rPr>
            </w:r>
          </w:p>
        </w:tc>
        <w:tc>
          <w:tcPr>
            <w:tcW w:w="8834" w:type="dxa"/>
            <w:gridSpan w:val="4"/>
            <w:tcBorders>
              <w:left w:val="single" w:sz="4" w:space="0" w:color="000000"/>
              <w:bottom w:val="single" w:sz="4" w:space="0" w:color="000000"/>
            </w:tcBorders>
          </w:tcPr>
          <w:p>
            <w:pPr>
              <w:pStyle w:val="Contedodatabela"/>
              <w:widowControl w:val="false"/>
              <w:bidi w:val="0"/>
              <w:snapToGrid w:val="false"/>
              <w:spacing w:lineRule="auto" w:line="360" w:before="0" w:after="0"/>
              <w:jc w:val="right"/>
              <w:rPr>
                <w:rFonts w:ascii="Arial" w:hAnsi="Arial" w:cs="Arial"/>
                <w:sz w:val="21"/>
                <w:szCs w:val="21"/>
                <w:lang w:val="pt-BR"/>
              </w:rPr>
            </w:pPr>
            <w:r>
              <w:rPr>
                <w:rFonts w:eastAsia="NSimSun" w:cs="Arial" w:ascii="Arial" w:hAnsi="Arial"/>
                <w:b/>
                <w:bCs/>
                <w:kern w:val="0"/>
                <w:sz w:val="21"/>
                <w:szCs w:val="21"/>
                <w:lang w:val="pt-BR"/>
              </w:rPr>
              <w:t>TOTAL  GERAL</w:t>
            </w:r>
          </w:p>
        </w:tc>
        <w:tc>
          <w:tcPr>
            <w:tcW w:w="1260" w:type="dxa"/>
            <w:tcBorders>
              <w:left w:val="single" w:sz="4" w:space="0" w:color="000000"/>
              <w:bottom w:val="single" w:sz="4" w:space="0" w:color="000000"/>
              <w:right w:val="single" w:sz="4" w:space="0" w:color="000000"/>
            </w:tcBorders>
          </w:tcPr>
          <w:p>
            <w:pPr>
              <w:pStyle w:val="Contedodatabela"/>
              <w:widowControl w:val="false"/>
              <w:bidi w:val="0"/>
              <w:snapToGrid w:val="false"/>
              <w:spacing w:lineRule="auto" w:line="360" w:before="0" w:after="0"/>
              <w:jc w:val="center"/>
              <w:rPr>
                <w:rFonts w:ascii="Arial" w:hAnsi="Arial" w:cs="Arial"/>
                <w:sz w:val="21"/>
                <w:szCs w:val="21"/>
                <w:lang w:val="pt-BR"/>
              </w:rPr>
            </w:pPr>
            <w:r>
              <w:rPr>
                <w:rFonts w:eastAsia="NSimSun" w:cs="Arial" w:ascii="Arial" w:hAnsi="Arial"/>
                <w:kern w:val="0"/>
                <w:sz w:val="21"/>
                <w:szCs w:val="21"/>
                <w:lang w:val="pt-BR"/>
              </w:rPr>
              <w:t>R$ 129.567,40</w:t>
            </w:r>
          </w:p>
        </w:tc>
      </w:tr>
    </w:tbl>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lang w:val="pt-BR"/>
        </w:rPr>
      </w:pPr>
      <w:r>
        <w:rPr>
          <w:rFonts w:eastAsia="Arial" w:cs="Arial" w:ascii="Arial" w:hAnsi="Arial"/>
          <w:color w:val="000000"/>
          <w:spacing w:val="0"/>
          <w:sz w:val="22"/>
          <w:shd w:fill="auto" w:val="clear"/>
          <w:lang w:val="pt-BR"/>
        </w:rPr>
        <w:t>Para cada item, o valor unitário encontrado foi multicplicado pela sua respectativa quantidade, resultando no valor total para cada item. A soma do valor total de todos os itens corresponde a R$ 129.567,40.</w:t>
      </w:r>
    </w:p>
    <w:p>
      <w:pPr>
        <w:pStyle w:val="Normal"/>
        <w:widowControl w:val="false"/>
        <w:suppressAutoHyphens w:val="true"/>
        <w:bidi w:val="0"/>
        <w:spacing w:lineRule="exact" w:line="360" w:before="0" w:after="0"/>
        <w:ind w:left="0" w:right="0" w:firstLine="709"/>
        <w:jc w:val="both"/>
        <w:rPr>
          <w:rFonts w:ascii="Arial" w:hAnsi="Arial" w:eastAsia="Arial" w:cs="Arial"/>
          <w:color w:val="FF0000"/>
          <w:spacing w:val="0"/>
          <w:sz w:val="22"/>
          <w:shd w:fill="auto" w:val="clear"/>
        </w:rPr>
      </w:pPr>
      <w:r>
        <w:rPr>
          <w:rFonts w:eastAsia="Arial" w:cs="Arial" w:ascii="Arial" w:hAnsi="Arial"/>
          <w:color w:val="FF0000"/>
          <w:spacing w:val="0"/>
          <w:sz w:val="22"/>
          <w:shd w:fill="auto" w:val="clear"/>
        </w:rPr>
      </w:r>
    </w:p>
    <w:p>
      <w:pPr>
        <w:pStyle w:val="Normal"/>
        <w:widowControl w:val="false"/>
        <w:numPr>
          <w:ilvl w:val="0"/>
          <w:numId w:val="16"/>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ADEQUAÇÃO ORÇAMENTÁRIA</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As despesas decorrentes das aquisições, objeto do presente certame, correrão à conta de dotação referente ao exercício de 2025.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 </w:t>
      </w:r>
      <w:r>
        <w:rPr>
          <w:rFonts w:eastAsia="Arial" w:cs="Arial" w:ascii="Arial" w:hAnsi="Arial"/>
          <w:color w:val="000000"/>
          <w:spacing w:val="0"/>
          <w:sz w:val="22"/>
          <w:shd w:fill="auto" w:val="clear"/>
        </w:rPr>
        <w:t>Será utilizada a seguinte dotação prevista no projeto da LOA 2025, que atualmente está em tramitação junto ao poder legislativo, já previstas na LDO 2025.</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b/>
          <w:b/>
          <w:bCs/>
        </w:rPr>
      </w:pPr>
      <w:r>
        <w:rPr>
          <w:rFonts w:eastAsia="Arial" w:cs="Arial" w:ascii="Arial" w:hAnsi="Arial"/>
          <w:b/>
          <w:bCs/>
          <w:color w:val="000000"/>
          <w:spacing w:val="0"/>
          <w:sz w:val="22"/>
          <w:shd w:fill="auto" w:val="clear"/>
        </w:rPr>
        <w:t xml:space="preserve">Prefeitura Municipal de Lindóia do Sul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15.001 Diretoria de Esportes/Diretoria de Esportes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2.019 – Manutenção das Atividades Esportivas e Recreativas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3.3.90.00.00.00.00.00 – Aplicações Diretas 1500.0000.0104 – Recursos Ordinários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7"/>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FORMA E CRITÉRIOS DE SELEÇÃO DO FORNECEDOR</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highlight w:val="none"/>
          <w:shd w:fill="auto" w:val="clear"/>
        </w:rPr>
      </w:pPr>
      <w:r>
        <w:rPr>
          <w:rFonts w:eastAsia="Arial" w:cs="Arial" w:ascii="Arial" w:hAnsi="Arial"/>
          <w:color w:val="000000"/>
          <w:spacing w:val="0"/>
          <w:sz w:val="22"/>
          <w:shd w:fill="auto" w:val="clear"/>
        </w:rPr>
        <w:t>Através da licitação a ser realizada na modalidade pregão, na forma eletrônica, e auxiliada pelo Sistema de Registro de Preços, devidamente regulamentado pelo decreto municipal, será selecionado como fornecedor de cada item aquele que apresentar proposta de MENOR PREÇO,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8"/>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MODELO DE EXECUÇÃO DO OBJETO</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Conforme disposto no art. 84, parágrafo único, da Lei Federal n. 14.133/2021, o contrato decorrente do Sistema de Registro de Preços deverá ser assinado no prazo de vigência da ata de registro de preços e terá sua vigência estabelecida em conformidade com as disposições nela contidas.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A contratação do item, com fornecimento parcelado, será efetuada conforme a necessidade, através de Solicitação de Fornecimento, não lhe sendo gerado, pela existência de preços registrados, a obrigação de contratar, nos termos do art. 83 da Lei Federal n. 14.133/2021.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 contratação com os fornecedores registrados será formalizada pelo Órgão Participante por intermédio de emissão de nota de Solicitação de Fornecimento e devem ser prestados em até 20 dias.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zCs w:val="22"/>
          <w:shd w:fill="auto" w:val="clear"/>
          <w:lang w:eastAsia="ar-SA"/>
        </w:rPr>
        <w:t xml:space="preserve">O Serviço deverá ser executado conforme o Calendário Esportivo da Diretoria Municipal de Esportes, obedecendo ao início dos jogos e demais eventos desenvolvidos por esta Diretoria durante o decorrer do ano de 2025. O serviço deverá ser executado, conforme calendário anual dos jogos, </w:t>
      </w:r>
      <w:r>
        <w:rPr>
          <w:rFonts w:eastAsia="Lucida Sans Unicode" w:cs="Arial" w:ascii="Arial" w:hAnsi="Arial"/>
          <w:color w:val="000000"/>
          <w:spacing w:val="0"/>
          <w:kern w:val="2"/>
          <w:sz w:val="22"/>
          <w:szCs w:val="22"/>
          <w:shd w:fill="auto" w:val="clear"/>
          <w:lang w:eastAsia="ar-SA"/>
        </w:rPr>
        <w:t xml:space="preserve">aonde constará dia, hora, local e quantidades de jogos por rodada.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19"/>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MODELO DE GESTÃO DO CONTRATO</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20"/>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CRITÉRIOS DE MEDIÇÃO</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Por se tratar de simples aquisição de serviços comuns e de entrega imediata, inexistem critérios de medição a serem fixados.</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numPr>
          <w:ilvl w:val="0"/>
          <w:numId w:val="21"/>
        </w:numPr>
        <w:suppressAutoHyphens w:val="true"/>
        <w:bidi w:val="0"/>
        <w:spacing w:lineRule="exact" w:line="360" w:before="0" w:after="0"/>
        <w:ind w:left="709" w:right="0" w:hanging="709"/>
        <w:jc w:val="left"/>
        <w:rPr>
          <w:rFonts w:ascii="Arial" w:hAnsi="Arial" w:eastAsia="Arial" w:cs="Arial"/>
          <w:b/>
          <w:b/>
          <w:color w:val="auto"/>
          <w:spacing w:val="0"/>
          <w:sz w:val="24"/>
          <w:shd w:fill="auto" w:val="clear"/>
        </w:rPr>
      </w:pPr>
      <w:r>
        <w:rPr>
          <w:rFonts w:eastAsia="Arial" w:cs="Arial" w:ascii="Arial" w:hAnsi="Arial"/>
          <w:b/>
          <w:color w:val="000000"/>
          <w:spacing w:val="0"/>
          <w:sz w:val="24"/>
          <w:shd w:fill="auto" w:val="clear"/>
        </w:rPr>
        <w:t>CRITÉRIOS DE PAGAMENTO</w:t>
      </w:r>
    </w:p>
    <w:p>
      <w:pPr>
        <w:pStyle w:val="Normal"/>
        <w:widowControl w:val="false"/>
        <w:suppressAutoHyphens w:val="true"/>
        <w:bidi w:val="0"/>
        <w:spacing w:lineRule="exact" w:line="360" w:before="0" w:after="0"/>
        <w:ind w:left="0" w:right="0" w:hanging="0"/>
        <w:jc w:val="left"/>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O pagamento pelas aquisições, objeto da presente licitação, será feito pelo Órgão Participante em favor do licitante vencedor mediante boleto ou transferência bancária (TED, DOC, depósito ou PIX) em conta corrente de titularidade do fornecedor.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O Órgão Participante efetuará o pagamento em até 30 dias após a data de recebimento do objeto desta licitação acompanhado da respectiva Nota Fiscal Eletrônica e arquivo XML.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 xml:space="preserve">O número do CNPJ - Cadastro Nacional de Pessoa Jurídica - constante das notas fiscais deverá ser aquele fornecido na fase de habilitação, exceto no caso de participação de empresas em consórcio. </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tabs>
          <w:tab w:val="left" w:pos="709" w:leader="none"/>
          <w:tab w:val="left" w:pos="2340" w:leader="none"/>
          <w:tab w:val="left" w:pos="4464" w:leader="none"/>
        </w:tabs>
        <w:suppressAutoHyphens w:val="true"/>
        <w:bidi w:val="0"/>
        <w:spacing w:lineRule="exact" w:line="360" w:before="0" w:after="0"/>
        <w:ind w:left="0" w:right="0" w:hanging="0"/>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tab/>
        <w:t xml:space="preserve">Lindóia do Sul, </w:t>
      </w:r>
      <w:r>
        <w:rPr>
          <w:rFonts w:eastAsia="Arial" w:cs="Arial" w:ascii="Arial" w:hAnsi="Arial"/>
          <w:color w:val="000000"/>
          <w:spacing w:val="0"/>
          <w:sz w:val="22"/>
          <w:shd w:fill="auto" w:val="clear"/>
          <w:lang w:val="pt-BR"/>
        </w:rPr>
        <w:t xml:space="preserve">14 </w:t>
      </w:r>
      <w:r>
        <w:rPr>
          <w:rFonts w:eastAsia="Arial" w:cs="Arial" w:ascii="Arial" w:hAnsi="Arial"/>
          <w:color w:val="000000"/>
          <w:spacing w:val="0"/>
          <w:sz w:val="22"/>
          <w:shd w:fill="auto" w:val="clear"/>
        </w:rPr>
        <w:t xml:space="preserve">de </w:t>
      </w:r>
      <w:r>
        <w:rPr>
          <w:rFonts w:eastAsia="Arial" w:cs="Arial" w:ascii="Arial" w:hAnsi="Arial"/>
          <w:color w:val="000000"/>
          <w:spacing w:val="0"/>
          <w:sz w:val="22"/>
          <w:shd w:fill="auto" w:val="clear"/>
          <w:lang w:val="pt-BR"/>
        </w:rPr>
        <w:t>Janeiro</w:t>
      </w:r>
      <w:bookmarkStart w:id="0" w:name="_GoBack"/>
      <w:bookmarkEnd w:id="0"/>
      <w:r>
        <w:rPr>
          <w:rFonts w:eastAsia="Arial" w:cs="Arial" w:ascii="Arial" w:hAnsi="Arial"/>
          <w:color w:val="000000"/>
          <w:spacing w:val="0"/>
          <w:sz w:val="22"/>
          <w:shd w:fill="auto" w:val="clear"/>
        </w:rPr>
        <w:t xml:space="preserve"> de 2025.</w:t>
      </w:r>
    </w:p>
    <w:p>
      <w:pPr>
        <w:pStyle w:val="Normal"/>
        <w:widowControl w:val="false"/>
        <w:suppressAutoHyphens w:val="true"/>
        <w:bidi w:val="0"/>
        <w:spacing w:lineRule="exact" w:line="360" w:before="0" w:after="0"/>
        <w:ind w:left="0" w:right="0" w:firstLine="709"/>
        <w:jc w:val="both"/>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widowControl w:val="false"/>
        <w:suppressAutoHyphens w:val="true"/>
        <w:bidi w:val="0"/>
        <w:spacing w:lineRule="exact" w:line="360" w:before="0" w:after="0"/>
        <w:ind w:left="0" w:right="0" w:hanging="0"/>
        <w:jc w:val="center"/>
        <w:rPr>
          <w:rFonts w:ascii="Arial" w:hAnsi="Arial" w:eastAsia="Arial" w:cs="Arial"/>
          <w:b/>
          <w:b/>
          <w:color w:val="000000"/>
          <w:spacing w:val="0"/>
          <w:sz w:val="22"/>
        </w:rPr>
      </w:pPr>
      <w:r>
        <w:rPr>
          <w:rFonts w:eastAsia="Arial" w:cs="Arial" w:ascii="Arial" w:hAnsi="Arial"/>
          <w:b/>
          <w:color w:val="000000"/>
          <w:spacing w:val="0"/>
          <w:sz w:val="22"/>
        </w:rPr>
      </w:r>
    </w:p>
    <w:p>
      <w:pPr>
        <w:pStyle w:val="Normal"/>
        <w:widowControl w:val="false"/>
        <w:suppressAutoHyphens w:val="true"/>
        <w:bidi w:val="0"/>
        <w:spacing w:lineRule="exact" w:line="360" w:before="0" w:after="0"/>
        <w:ind w:left="0" w:right="0" w:hanging="0"/>
        <w:jc w:val="center"/>
        <w:rPr>
          <w:rFonts w:ascii="Arial" w:hAnsi="Arial" w:eastAsia="Arial" w:cs="Arial"/>
          <w:b/>
          <w:b/>
          <w:color w:val="000000"/>
          <w:spacing w:val="0"/>
          <w:sz w:val="22"/>
        </w:rPr>
      </w:pPr>
      <w:r>
        <w:rPr>
          <w:rFonts w:eastAsia="Arial" w:cs="Arial" w:ascii="Arial" w:hAnsi="Arial"/>
          <w:b/>
          <w:color w:val="000000"/>
          <w:spacing w:val="0"/>
          <w:sz w:val="22"/>
        </w:rPr>
      </w:r>
    </w:p>
    <w:p>
      <w:pPr>
        <w:pStyle w:val="Normal"/>
        <w:widowControl w:val="false"/>
        <w:suppressAutoHyphens w:val="true"/>
        <w:bidi w:val="0"/>
        <w:spacing w:lineRule="exact" w:line="360" w:before="0" w:after="0"/>
        <w:ind w:left="0" w:right="0" w:hanging="0"/>
        <w:jc w:val="center"/>
        <w:rPr>
          <w:rFonts w:ascii="Arial" w:hAnsi="Arial" w:eastAsia="Arial" w:cs="Arial"/>
          <w:b/>
          <w:b/>
          <w:color w:val="000000"/>
          <w:spacing w:val="0"/>
          <w:sz w:val="22"/>
        </w:rPr>
      </w:pPr>
      <w:r>
        <w:rPr>
          <w:rFonts w:eastAsia="Arial" w:cs="Arial" w:ascii="Arial" w:hAnsi="Arial"/>
          <w:b/>
          <w:color w:val="000000"/>
          <w:spacing w:val="0"/>
          <w:sz w:val="22"/>
        </w:rPr>
      </w:r>
    </w:p>
    <w:p>
      <w:pPr>
        <w:pStyle w:val="Normal"/>
        <w:widowControl w:val="false"/>
        <w:suppressAutoHyphens w:val="true"/>
        <w:bidi w:val="0"/>
        <w:spacing w:lineRule="exact" w:line="360" w:before="0" w:after="0"/>
        <w:ind w:left="0" w:right="0" w:hanging="0"/>
        <w:jc w:val="center"/>
        <w:rPr>
          <w:highlight w:val="none"/>
          <w:shd w:fill="auto" w:val="clear"/>
        </w:rPr>
      </w:pPr>
      <w:r>
        <w:rPr>
          <w:rFonts w:eastAsia="Arial" w:cs="Arial" w:ascii="Arial" w:hAnsi="Arial"/>
          <w:b/>
          <w:color w:val="000000"/>
          <w:spacing w:val="0"/>
          <w:sz w:val="22"/>
          <w:shd w:fill="auto" w:val="clear"/>
        </w:rPr>
        <w:t>Giovan Canton</w:t>
      </w:r>
    </w:p>
    <w:p>
      <w:pPr>
        <w:pStyle w:val="Normal"/>
        <w:widowControl w:val="false"/>
        <w:suppressAutoHyphens w:val="true"/>
        <w:bidi w:val="0"/>
        <w:spacing w:lineRule="exact" w:line="360" w:before="0" w:after="0"/>
        <w:ind w:left="0" w:right="-39" w:hanging="0"/>
        <w:jc w:val="center"/>
        <w:rPr>
          <w:highlight w:val="none"/>
          <w:shd w:fill="auto" w:val="clear"/>
        </w:rPr>
      </w:pPr>
      <w:r>
        <w:rPr>
          <w:rFonts w:eastAsia="Arial" w:cs="Arial" w:ascii="Arial" w:hAnsi="Arial"/>
          <w:color w:val="000000"/>
          <w:spacing w:val="0"/>
          <w:sz w:val="22"/>
          <w:shd w:fill="auto" w:val="clear"/>
        </w:rPr>
        <w:t>Supervisor das Categorias de Base</w:t>
      </w:r>
    </w:p>
    <w:p>
      <w:pPr>
        <w:pStyle w:val="Normal"/>
        <w:widowControl w:val="false"/>
        <w:suppressAutoHyphens w:val="true"/>
        <w:bidi w:val="0"/>
        <w:spacing w:lineRule="exact" w:line="360" w:before="0" w:after="0"/>
        <w:ind w:left="0" w:right="-39" w:hanging="0"/>
        <w:jc w:val="center"/>
        <w:rPr>
          <w:rFonts w:ascii="Arial" w:hAnsi="Arial" w:eastAsia="Arial" w:cs="Arial"/>
          <w:color w:val="000000"/>
          <w:spacing w:val="0"/>
          <w:sz w:val="22"/>
        </w:rPr>
      </w:pPr>
      <w:r>
        <w:rPr>
          <w:rFonts w:eastAsia="Arial" w:cs="Arial" w:ascii="Arial" w:hAnsi="Arial"/>
          <w:color w:val="000000"/>
          <w:spacing w:val="0"/>
          <w:sz w:val="22"/>
        </w:rPr>
      </w:r>
    </w:p>
    <w:p>
      <w:pPr>
        <w:pStyle w:val="Normal"/>
        <w:widowControl w:val="false"/>
        <w:suppressAutoHyphens w:val="true"/>
        <w:bidi w:val="0"/>
        <w:spacing w:lineRule="exact" w:line="259" w:before="0" w:after="0"/>
        <w:ind w:left="0" w:right="0" w:hanging="0"/>
        <w:jc w:val="center"/>
        <w:rPr>
          <w:highlight w:val="none"/>
          <w:shd w:fill="auto" w:val="clear"/>
        </w:rPr>
      </w:pPr>
      <w:r>
        <w:rPr>
          <w:rFonts w:eastAsia="Tahoma" w:cs="Tahoma" w:ascii="Tahoma" w:hAnsi="Tahoma"/>
          <w:color w:val="000000"/>
          <w:spacing w:val="0"/>
          <w:sz w:val="14"/>
          <w:shd w:fill="auto" w:val="clear"/>
        </w:rPr>
        <w:t>Documento original eletrônico assinado digitalmente nos termos do Artigo 10 da Medida Provisória nº 2.200-2/2001 e Lei Federal nº 14.063/2020.</w:t>
      </w:r>
    </w:p>
    <w:p>
      <w:pPr>
        <w:pStyle w:val="Normal"/>
        <w:widowControl w:val="false"/>
        <w:suppressAutoHyphens w:val="true"/>
        <w:bidi w:val="0"/>
        <w:spacing w:lineRule="exact" w:line="240" w:before="0" w:after="0"/>
        <w:ind w:left="0" w:right="-39" w:hanging="0"/>
        <w:jc w:val="center"/>
        <w:rPr>
          <w:rFonts w:ascii="Arial" w:hAnsi="Arial" w:eastAsia="Arial" w:cs="Arial"/>
          <w:color w:val="auto"/>
          <w:spacing w:val="0"/>
          <w:sz w:val="22"/>
          <w:shd w:fill="auto" w:val="clear"/>
        </w:rPr>
      </w:pPr>
      <w:r>
        <w:rPr>
          <w:rFonts w:eastAsia="Arial" w:cs="Arial" w:ascii="Arial" w:hAnsi="Arial"/>
          <w:color w:val="000000"/>
          <w:spacing w:val="0"/>
          <w:sz w:val="22"/>
          <w:shd w:fill="auto" w:val="clear"/>
        </w:rPr>
      </w:r>
    </w:p>
    <w:p>
      <w:pPr>
        <w:pStyle w:val="Normal"/>
        <w:tabs>
          <w:tab w:val="clear" w:pos="709"/>
          <w:tab w:val="left" w:pos="2340" w:leader="none"/>
          <w:tab w:val="left" w:pos="4464" w:leader="none"/>
        </w:tabs>
        <w:spacing w:lineRule="auto" w:line="360" w:before="140" w:after="140"/>
        <w:jc w:val="both"/>
        <w:rPr>
          <w:rFonts w:ascii="Arial" w:hAnsi="Arial"/>
          <w:sz w:val="21"/>
          <w:szCs w:val="21"/>
        </w:rPr>
      </w:pPr>
      <w:r>
        <w:rPr>
          <w:rFonts w:ascii="Arial" w:hAnsi="Arial"/>
          <w:sz w:val="21"/>
          <w:szCs w:val="21"/>
        </w:rPr>
      </w:r>
    </w:p>
    <w:p>
      <w:pPr>
        <w:pStyle w:val="Normal"/>
        <w:tabs>
          <w:tab w:val="clear" w:pos="709"/>
          <w:tab w:val="left" w:pos="2340" w:leader="none"/>
          <w:tab w:val="left" w:pos="4464" w:leader="none"/>
        </w:tabs>
        <w:spacing w:lineRule="auto" w:line="360" w:before="140" w:after="140"/>
        <w:jc w:val="both"/>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rPr>
          <w:rFonts w:ascii="Arial" w:hAnsi="Arial"/>
          <w:sz w:val="21"/>
          <w:szCs w:val="21"/>
        </w:rPr>
      </w:pPr>
      <w:r>
        <w:rPr/>
        <w:t>PROCESSO LICITATÓRIO Nº 06/2025</w:t>
      </w:r>
    </w:p>
    <w:p>
      <w:pPr>
        <w:pStyle w:val="Normal"/>
        <w:rPr>
          <w:rFonts w:ascii="Arial" w:hAnsi="Arial"/>
          <w:sz w:val="21"/>
          <w:szCs w:val="21"/>
        </w:rPr>
      </w:pPr>
      <w:r>
        <w:rPr/>
        <w:t>EDITAL DE PREGÃO ELETRÔNICO Nº 03/2025</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Conforme Termo de Referência/Edital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nº 15, na forma Eletrônica – Edital nº 97/2024,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2025.</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rPr>
          <w:rFonts w:ascii="Arial" w:hAnsi="Arial"/>
          <w:b/>
          <w:b/>
          <w:bCs/>
          <w:sz w:val="21"/>
          <w:szCs w:val="21"/>
        </w:rPr>
      </w:pPr>
      <w:r>
        <w:rPr>
          <w:rFonts w:ascii="Arial" w:hAnsi="Arial"/>
          <w:b/>
          <w:bCs/>
          <w:sz w:val="21"/>
          <w:szCs w:val="21"/>
        </w:rPr>
      </w:r>
    </w:p>
    <w:p>
      <w:pPr>
        <w:pStyle w:val="Normal"/>
        <w:rPr/>
      </w:pPr>
      <w:r>
        <w:rPr/>
        <w:t>PROCESSO LICITATÓRIO Nº 06/2025</w:t>
      </w:r>
    </w:p>
    <w:p>
      <w:pPr>
        <w:pStyle w:val="Normal"/>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03/2025</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ATA DE REGISTRO DE PREÇOS Nº __/2025</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Sr.Flavio Luiz Benini</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03/2025, Ata de julgamento de Preços e homologada pela autoridade competente, RESOLVEM registrar os preços para futura e eventual contratação, com fornecimento parcelado, de prestação de serviços de arbitragem, para uso da Diretoria de Municipal de Esportes do Município de Lindóia do Sul, de acordo com os quantitativos estimados </w:t>
      </w:r>
    </w:p>
    <w:p>
      <w:pPr>
        <w:pStyle w:val="Normal"/>
        <w:widowControl/>
        <w:suppressAutoHyphens w:val="false"/>
        <w:spacing w:lineRule="auto" w:line="300" w:before="0" w:after="0"/>
        <w:ind w:left="0" w:right="0" w:hanging="0"/>
        <w:jc w:val="both"/>
        <w:rPr/>
      </w:pPr>
      <w:r>
        <w:rPr>
          <w:rFonts w:cs="Arial" w:ascii="Arial" w:hAnsi="Arial"/>
          <w:b w:val="false"/>
          <w:bCs w:val="false"/>
          <w:color w:val="000000"/>
          <w:kern w:val="2"/>
          <w:sz w:val="21"/>
          <w:szCs w:val="21"/>
          <w:lang w:eastAsia="zxx"/>
        </w:rPr>
        <w:t>e durante a vigência da ata de Registro de preços,</w:t>
      </w:r>
      <w:r>
        <w:rPr>
          <w:rFonts w:cs="Arial" w:ascii="Arial" w:hAnsi="Arial"/>
          <w:b w:val="false"/>
          <w:bCs w:val="false"/>
          <w:color w:val="000000"/>
          <w:sz w:val="21"/>
          <w:szCs w:val="21"/>
        </w:rPr>
        <w:t xml:space="preserve">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9"/>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9"/>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1.1. A presente Ata tem por objeto o REGISTRO DE PREÇOS para futura e eventual contratação, com fornecimento parcelado, de prestação de serviços de arbitragem, para uso da Diretoria Municipal de Esportes do Município de Lindóia do Sul, de acordo com os quantitativos estimados e durante o prazo de vigência da Ata de Registro de Preços.</w:t>
      </w:r>
    </w:p>
    <w:p>
      <w:pPr>
        <w:pStyle w:val="Normal"/>
        <w:tabs>
          <w:tab w:val="clear" w:pos="709"/>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9"/>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9"/>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 xml:space="preserve">CLÁUSULA TERCEIRA -  DO PRAZO, FORMA DE RECEBIMENTO E LOCAL DE ENTREGA DO OBJETO </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sz w:val="21"/>
          <w:szCs w:val="21"/>
          <w:lang w:eastAsia="pt-BR"/>
        </w:rPr>
        <w:t xml:space="preserve">3.1 </w:t>
      </w:r>
      <w:r>
        <w:rPr>
          <w:rFonts w:eastAsia="Times New Roman" w:cs="Arial" w:ascii="Arial" w:hAnsi="Arial"/>
          <w:bCs/>
          <w:color w:val="000000"/>
          <w:sz w:val="21"/>
          <w:szCs w:val="21"/>
          <w:lang w:eastAsia="pt-BR"/>
        </w:rPr>
        <w:t>Os serviços contratados deverão ser prestados em até 20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r>
        <w:rPr>
          <w:rFonts w:eastAsia="Times New Roman" w:cs="Arial" w:ascii="Arial" w:hAnsi="Arial"/>
          <w:color w:val="000000"/>
          <w:sz w:val="21"/>
          <w:szCs w:val="21"/>
          <w:shd w:fill="auto" w:val="clear"/>
          <w:lang w:eastAsia="pt-BR"/>
        </w:rPr>
        <w:t>.</w:t>
      </w:r>
    </w:p>
    <w:p>
      <w:pPr>
        <w:pStyle w:val="Default"/>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 xml:space="preserve">3.1.1 </w:t>
      </w:r>
      <w:r>
        <w:rPr>
          <w:rFonts w:ascii="Arial" w:hAnsi="Arial"/>
          <w:b w:val="false"/>
          <w:sz w:val="21"/>
          <w:szCs w:val="21"/>
        </w:rPr>
        <w:t>O serviço deverá ser executado conforme o calendário Esportivo da Diretoria Municipal de Esportes, obedecendo ao início dos jogos e demais eventos desenvolvidos por esta Diretoria durante o decorrer do ano de 2025. O serviço deverá ser executado, conforme calendário anual dos jogos, aonde constará dia, hora, local, e quantidades de jogos por rodada.</w:t>
      </w:r>
    </w:p>
    <w:p>
      <w:pPr>
        <w:pStyle w:val="Normal"/>
        <w:numPr>
          <w:ilvl w:val="0"/>
          <w:numId w:val="0"/>
        </w:numPr>
        <w:tabs>
          <w:tab w:val="clear" w:pos="709"/>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9"/>
          <w:tab w:val="left" w:pos="142" w:leader="none"/>
        </w:tabs>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9"/>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9"/>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06/2025, Pregão Eletrônico nº 03/2025.</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2025.</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Flavio Luiz Benini</w:t>
      </w:r>
      <w:r>
        <w:rPr>
          <w:rFonts w:cs="Arial" w:ascii="Arial" w:hAnsi="Arial"/>
          <w:b/>
          <w:bCs/>
          <w:color w:val="000000"/>
          <w:kern w:val="2"/>
          <w:sz w:val="21"/>
          <w:szCs w:val="21"/>
          <w:lang w:eastAsia="zxx"/>
        </w:rPr>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1" w:name="_Hlk166661777"/>
      <w:bookmarkStart w:id="2" w:name="_Hlk1038461171"/>
      <w:bookmarkStart w:id="3" w:name="_Hlk103846117"/>
      <w:bookmarkStart w:id="4" w:name="_Hlk166662625"/>
      <w:bookmarkStart w:id="5" w:name="_Hlk166662798"/>
      <w:bookmarkStart w:id="6" w:name="_Hlk1038461172"/>
      <w:bookmarkStart w:id="7" w:name="_Hlk1291862591"/>
      <w:bookmarkStart w:id="8" w:name="_Hlk129186259"/>
      <w:bookmarkStart w:id="9" w:name="_Hlk129160896"/>
      <w:bookmarkStart w:id="10" w:name="_Hlk132190501"/>
      <w:bookmarkStart w:id="11" w:name="_Hlk129156372"/>
      <w:r>
        <w:rPr>
          <w:rFonts w:cs="Arial" w:ascii="Arial" w:hAnsi="Arial"/>
          <w:bCs/>
          <w:color w:val="000000"/>
          <w:kern w:val="2"/>
          <w:sz w:val="21"/>
          <w:szCs w:val="21"/>
          <w:lang w:eastAsia="zxx"/>
        </w:rPr>
        <w:t>CPF:</w:t>
        <w:tab/>
        <w:tab/>
        <w:tab/>
        <w:tab/>
        <w:tab/>
        <w:tab/>
        <w:tab/>
        <w:t>CPF:</w:t>
      </w:r>
      <w:bookmarkEnd w:id="1"/>
      <w:bookmarkEnd w:id="2"/>
      <w:bookmarkEnd w:id="3"/>
      <w:bookmarkEnd w:id="4"/>
      <w:bookmarkEnd w:id="5"/>
      <w:bookmarkEnd w:id="6"/>
      <w:bookmarkEnd w:id="7"/>
      <w:bookmarkEnd w:id="8"/>
      <w:bookmarkEnd w:id="9"/>
      <w:bookmarkEnd w:id="10"/>
      <w:bookmarkEnd w:id="11"/>
    </w:p>
    <w:sectPr>
      <w:headerReference w:type="default" r:id="rId13"/>
      <w:headerReference w:type="first" r:id="rId14"/>
      <w:footerReference w:type="default" r:id="rId15"/>
      <w:footerReference w:type="first" r:id="rId16"/>
      <w:type w:val="nextPage"/>
      <w:pgSz w:w="11906" w:h="16838"/>
      <w:pgMar w:left="1701" w:right="1134" w:gutter="0" w:header="709" w:top="1701"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Trebuchet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52</w:t>
    </w:r>
    <w:r>
      <w:rPr>
        <w:sz w:val="20"/>
        <w:szCs w:val="2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20"/>
        <w:szCs w:val="20"/>
      </w:rPr>
    </w:pPr>
    <w:r>
      <w:rPr>
        <w:sz w:val="20"/>
        <w:szCs w:val="20"/>
      </w:rPr>
      <w:t>Rua Tamandaré, 98 - Centro</w:t>
    </w:r>
  </w:p>
  <w:p>
    <w:pPr>
      <w:pStyle w:val="Rodap"/>
      <w:jc w:val="right"/>
      <w:rPr>
        <w:sz w:val="20"/>
        <w:szCs w:val="20"/>
      </w:rPr>
    </w:pPr>
    <w:r>
      <w:rPr>
        <w:sz w:val="20"/>
        <w:szCs w:val="20"/>
      </w:rPr>
      <w:t xml:space="preserve">89735-000 - Lindóia do Sul - SC </w:t>
    </w:r>
  </w:p>
  <w:p>
    <w:pPr>
      <w:pStyle w:val="Rodap"/>
      <w:jc w:val="right"/>
      <w:rPr>
        <w:sz w:val="20"/>
        <w:szCs w:val="20"/>
      </w:rPr>
    </w:pPr>
    <w:r>
      <w:rPr>
        <w:sz w:val="20"/>
        <w:szCs w:val="20"/>
      </w:rPr>
      <w:t>(49) 3446-1177 | www.lindoiadosul.sc.gov.br</w:t>
    </w:r>
  </w:p>
  <w:p>
    <w:pPr>
      <w:pStyle w:val="Rodap"/>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both"/>
      <w:rPr>
        <w:rFonts w:ascii="Arial" w:hAnsi="Arial" w:cs="Arial"/>
        <w:sz w:val="16"/>
      </w:rPr>
    </w:pPr>
    <w:r>
      <w:rPr>
        <w:rFonts w:cs="Arial" w:ascii="Arial" w:hAnsi="Arial"/>
        <w:sz w:val="16"/>
      </w:rPr>
      <w:t xml:space="preserve"> </w:t>
    </w:r>
  </w:p>
  <w:p>
    <w:pPr>
      <w:pStyle w:val="Cabealho"/>
      <w:tabs>
        <w:tab w:val="clear" w:pos="4419"/>
        <w:tab w:val="clear" w:pos="8838"/>
        <w:tab w:val="left" w:pos="2445" w:leader="none"/>
      </w:tabs>
      <w:jc w:val="both"/>
      <w:rPr>
        <w:rFonts w:ascii="Trebuchet MS" w:hAnsi="Trebuchet MS" w:cs="Arial"/>
        <w:b/>
        <w:b/>
        <w:bCs/>
      </w:rPr>
    </w:pPr>
    <w:r>
      <w:rPr>
        <w:rFonts w:cs="Arial" w:ascii="Trebuchet MS" w:hAnsi="Trebuchet MS"/>
        <w:b/>
        <w:bCs/>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center" w:pos="4536" w:leader="none"/>
      </w:tabs>
      <w:jc w:val="both"/>
      <w:rPr>
        <w:rFonts w:ascii="Arial" w:hAnsi="Arial" w:cs="Arial"/>
        <w:color w:val="0000FF"/>
        <w:sz w:val="22"/>
        <w:szCs w:val="22"/>
        <w:lang w:val="pt-PT"/>
      </w:rPr>
    </w:pPr>
    <w:r>
      <w:rPr/>
      <mc:AlternateContent>
        <mc:Choice Requires="wps">
          <w:drawing>
            <wp:anchor behindDoc="1" distT="5715" distB="4445" distL="5715" distR="4445" simplePos="0" locked="0" layoutInCell="0" allowOverlap="1" relativeHeight="2">
              <wp:simplePos x="0" y="0"/>
              <wp:positionH relativeFrom="column">
                <wp:posOffset>1165860</wp:posOffset>
              </wp:positionH>
              <wp:positionV relativeFrom="paragraph">
                <wp:posOffset>238125</wp:posOffset>
              </wp:positionV>
              <wp:extent cx="3162935" cy="556895"/>
              <wp:effectExtent l="5715" t="5715" r="4445" b="4445"/>
              <wp:wrapNone/>
              <wp:docPr id="1" name="Caixa de texto 43"/>
              <a:graphic xmlns:a="http://schemas.openxmlformats.org/drawingml/2006/main">
                <a:graphicData uri="http://schemas.microsoft.com/office/word/2010/wordprocessingShape">
                  <wps:wsp>
                    <wps:cNvSpPr/>
                    <wps:spPr>
                      <a:xfrm>
                        <a:off x="0" y="0"/>
                        <a:ext cx="3162960" cy="556920"/>
                      </a:xfrm>
                      <a:prstGeom prst="rect">
                        <a:avLst/>
                      </a:prstGeom>
                      <a:solidFill>
                        <a:srgbClr val="ffffff"/>
                      </a:solidFill>
                      <a:ln w="9525">
                        <a:solidFill>
                          <a:srgbClr val="ffffff"/>
                        </a:solidFill>
                        <a:miter/>
                      </a:ln>
                    </wps:spPr>
                    <wps:style>
                      <a:lnRef idx="0"/>
                      <a:fillRef idx="0"/>
                      <a:effectRef idx="0"/>
                      <a:fontRef idx="minor"/>
                    </wps:style>
                    <wps:txb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wps:txbx>
                    <wps:bodyPr anchor="t" upright="1">
                      <a:noAutofit/>
                    </wps:bodyPr>
                  </wps:wsp>
                </a:graphicData>
              </a:graphic>
            </wp:anchor>
          </w:drawing>
        </mc:Choice>
        <mc:Fallback>
          <w:pict>
            <v:rect id="shape_0" ID="Caixa de texto 43" path="m0,0l-2147483645,0l-2147483645,-2147483646l0,-2147483646xe" fillcolor="white" stroked="t" o:allowincell="f" style="position:absolute;margin-left:91.8pt;margin-top:18.75pt;width:249pt;height:43.8pt;mso-wrap-style:square;v-text-anchor:top">
              <v:fill o:detectmouseclick="t" type="solid" color2="black"/>
              <v:stroke color="white" weight="9360" joinstyle="miter" endcap="flat"/>
              <v:textbox>
                <w:txbxContent>
                  <w:p>
                    <w:pPr>
                      <w:pStyle w:val="Contedodoquadro"/>
                      <w:jc w:val="center"/>
                      <w:rPr>
                        <w:b/>
                        <w:b/>
                        <w:sz w:val="28"/>
                        <w:szCs w:val="28"/>
                      </w:rPr>
                    </w:pPr>
                    <w:r>
                      <w:rPr>
                        <w:b/>
                        <w:color w:val="000000"/>
                        <w:sz w:val="28"/>
                        <w:szCs w:val="28"/>
                      </w:rPr>
                      <w:t>MUNICÍPIO DE LINDÓIA DO SUL</w:t>
                    </w:r>
                  </w:p>
                  <w:p>
                    <w:pPr>
                      <w:pStyle w:val="Contedodoquadro"/>
                      <w:jc w:val="center"/>
                      <w:rPr>
                        <w:b/>
                        <w:b/>
                        <w:sz w:val="28"/>
                        <w:szCs w:val="28"/>
                      </w:rPr>
                    </w:pPr>
                    <w:r>
                      <w:rPr>
                        <w:b/>
                        <w:color w:val="000000"/>
                        <w:sz w:val="28"/>
                        <w:szCs w:val="28"/>
                      </w:rPr>
                      <w:t>ESTADO DE SANTA CATARINA</w:t>
                    </w:r>
                  </w:p>
                </w:txbxContent>
              </v:textbox>
              <w10:wrap type="none"/>
            </v:rect>
          </w:pict>
        </mc:Fallback>
      </mc:AlternateContent>
      <w:drawing>
        <wp:inline distT="0" distB="0" distL="0" distR="0">
          <wp:extent cx="1169035" cy="914400"/>
          <wp:effectExtent l="0" t="0" r="0" b="0"/>
          <wp:docPr id="3"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
                  <pic:cNvPicPr>
                    <a:picLocks noChangeAspect="1" noChangeArrowheads="1"/>
                  </pic:cNvPicPr>
                </pic:nvPicPr>
                <pic:blipFill>
                  <a:blip r:embed="rId1">
                    <a:grayscl/>
                  </a:blip>
                  <a:stretch>
                    <a:fillRect/>
                  </a:stretch>
                </pic:blipFill>
                <pic:spPr bwMode="auto">
                  <a:xfrm>
                    <a:off x="0" y="0"/>
                    <a:ext cx="1169035" cy="914400"/>
                  </a:xfrm>
                  <a:prstGeom prst="rect">
                    <a:avLst/>
                  </a:prstGeom>
                </pic:spPr>
              </pic:pic>
            </a:graphicData>
          </a:graphic>
        </wp:inline>
      </w:drawing>
    </w:r>
  </w:p>
  <w:p>
    <w:pPr>
      <w:pStyle w:val="Cabealho"/>
      <w:tabs>
        <w:tab w:val="clear" w:pos="4419"/>
        <w:tab w:val="clear" w:pos="8838"/>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semiHidden="0" w:unhideWhenUsed="0"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lsdException w:name="annotation text" w:uiPriority="99"/>
    <w:lsdException w:name="header" w:uiPriority="99" w:semiHidden="0" w:unhideWhenUsed="0"/>
    <w:lsdException w:name="footer" w:uiPriority="99" w:semiHidden="0" w:unhideWhenUsed="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semiHidden="0"/>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semiHidden="0"/>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0" w:unhideWhenUsed="0"/>
    <w:lsdException w:name="Body Text" w:uiPriority="0" w:unhideWhenUsed="0"/>
    <w:lsdException w:name="Body Text Indent" w:uiPriority="0" w:semiHidden="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semiHidden="0"/>
    <w:lsdException w:name="Body Text Indent 3" w:uiPriority="99"/>
    <w:lsdException w:name="Block Text" w:uiPriority="99"/>
    <w:lsdException w:name="Hyperlink" w:uiPriority="99" w:semiHidden="0" w:unhideWhenUsed="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unhideWhenUsed="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lsdException w:name="Table Grid" w:uiPriority="5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uiPriority w:val="0"/>
    <w:qFormat/>
    <w:pPr>
      <w:keepNext w:val="true"/>
      <w:jc w:val="both"/>
      <w:outlineLvl w:val="0"/>
    </w:pPr>
    <w:rPr>
      <w:rFonts w:ascii="Garamond" w:hAnsi="Garamond"/>
      <w:b/>
      <w:bCs/>
      <w:spacing w:val="60"/>
      <w:w w:val="150"/>
      <w:sz w:val="28"/>
    </w:rPr>
  </w:style>
  <w:style w:type="paragraph" w:styleId="Ttulo2">
    <w:name w:val="Heading 2"/>
    <w:basedOn w:val="Normal"/>
    <w:next w:val="Normal"/>
    <w:link w:val="Ttulo2Char"/>
    <w:uiPriority w:val="0"/>
    <w:qFormat/>
    <w:pPr>
      <w:keepNext w:val="true"/>
      <w:widowControl/>
      <w:suppressAutoHyphens w:val="true"/>
      <w:bidi w:val="0"/>
      <w:spacing w:lineRule="auto" w:line="300" w:before="0" w:after="0"/>
      <w:ind w:left="0" w:right="0" w:hanging="0"/>
      <w:jc w:val="both"/>
      <w:outlineLvl w:val="1"/>
    </w:pPr>
    <w:rPr>
      <w:rFonts w:ascii="Garamond" w:hAnsi="Garamond"/>
      <w:b/>
      <w:bCs/>
      <w:spacing w:val="60"/>
      <w:w w:val="150"/>
      <w:sz w:val="28"/>
    </w:rPr>
  </w:style>
  <w:style w:type="paragraph" w:styleId="Ttulo3">
    <w:name w:val="Heading 3"/>
    <w:basedOn w:val="Normal"/>
    <w:next w:val="Normal"/>
    <w:link w:val="Ttulo3Char"/>
    <w:uiPriority w:val="0"/>
    <w:qFormat/>
    <w:pPr>
      <w:keepNext w:val="true"/>
      <w:jc w:val="center"/>
      <w:outlineLvl w:val="2"/>
    </w:pPr>
    <w:rPr>
      <w:b/>
      <w:bCs/>
      <w:spacing w:val="60"/>
      <w:w w:val="150"/>
    </w:rPr>
  </w:style>
  <w:style w:type="paragraph" w:styleId="Ttulo4">
    <w:name w:val="Heading 4"/>
    <w:basedOn w:val="Normal"/>
    <w:next w:val="Normal"/>
    <w:link w:val="Ttulo4Char"/>
    <w:uiPriority w:val="0"/>
    <w:qFormat/>
    <w:pPr>
      <w:keepNext w:val="true"/>
      <w:jc w:val="center"/>
      <w:outlineLvl w:val="3"/>
    </w:pPr>
    <w:rPr>
      <w:rFonts w:ascii="Trebuchet MS" w:hAnsi="Trebuchet MS" w:cs="Arial"/>
      <w:b/>
      <w:color w:val="FFFFFF"/>
      <w:sz w:val="18"/>
      <w:szCs w:val="36"/>
    </w:rPr>
  </w:style>
  <w:style w:type="paragraph" w:styleId="Ttulo5">
    <w:name w:val="Heading 5"/>
    <w:basedOn w:val="Normal"/>
    <w:next w:val="Normal"/>
    <w:link w:val="Ttulo5Char"/>
    <w:uiPriority w:val="0"/>
    <w:qFormat/>
    <w:pPr>
      <w:keepNext w:val="true"/>
      <w:jc w:val="center"/>
      <w:outlineLvl w:val="4"/>
    </w:pPr>
    <w:rPr>
      <w:rFonts w:ascii="Trebuchet MS" w:hAnsi="Trebuchet MS" w:cs="Arial"/>
      <w:b/>
      <w:color w:val="808080"/>
      <w:szCs w:val="36"/>
    </w:rPr>
  </w:style>
  <w:style w:type="paragraph" w:styleId="Ttulo6">
    <w:name w:val="Heading 6"/>
    <w:basedOn w:val="Normal"/>
    <w:next w:val="Normal"/>
    <w:link w:val="Ttulo6Char"/>
    <w:uiPriority w:val="0"/>
    <w:qFormat/>
    <w:pPr>
      <w:keepNext w:val="true"/>
      <w:jc w:val="center"/>
      <w:outlineLvl w:val="5"/>
    </w:pPr>
    <w:rPr>
      <w:rFonts w:ascii="Trebuchet MS" w:hAnsi="Trebuchet MS"/>
      <w:color w:val="808080"/>
      <w:spacing w:val="60"/>
      <w:w w:val="200"/>
      <w:sz w:val="52"/>
      <w:szCs w:val="36"/>
    </w:rPr>
  </w:style>
  <w:style w:type="paragraph" w:styleId="Ttulo7">
    <w:name w:val="Heading 7"/>
    <w:basedOn w:val="Normal"/>
    <w:next w:val="Normal"/>
    <w:link w:val="Ttulo7Char"/>
    <w:uiPriority w:val="9"/>
    <w:qFormat/>
    <w:pPr>
      <w:spacing w:before="240" w:after="60"/>
      <w:outlineLvl w:val="6"/>
    </w:pPr>
    <w:rPr>
      <w:rFonts w:ascii="Calibri" w:hAnsi="Calibri" w:eastAsia="Times New Roman" w:cs="Times New Roman"/>
    </w:rPr>
  </w:style>
  <w:style w:type="character" w:styleId="DefaultParagraphFont" w:default="1">
    <w:name w:val="Default Paragraph Font"/>
    <w:uiPriority w:val="0"/>
    <w:semiHidden/>
    <w:qFormat/>
    <w:rPr/>
  </w:style>
  <w:style w:type="character" w:styleId="Strong">
    <w:name w:val="Strong"/>
    <w:basedOn w:val="DefaultParagraphFont"/>
    <w:uiPriority w:val="22"/>
    <w:qFormat/>
    <w:rPr>
      <w:b/>
      <w:bCs/>
    </w:rPr>
  </w:style>
  <w:style w:type="character" w:styleId="Nfase">
    <w:name w:val="Emphasis"/>
    <w:basedOn w:val="DefaultParagraphFont"/>
    <w:uiPriority w:val="20"/>
    <w:qFormat/>
    <w:rPr>
      <w:i/>
      <w:iCs/>
    </w:rPr>
  </w:style>
  <w:style w:type="character" w:styleId="Ncoradanotaderodap">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LinkdaInternet">
    <w:name w:val="Hyperlink"/>
    <w:basedOn w:val="DefaultParagraphFont"/>
    <w:uiPriority w:val="99"/>
    <w:rPr>
      <w:color w:val="0000FF"/>
      <w:u w:val="single"/>
    </w:rPr>
  </w:style>
  <w:style w:type="character" w:styleId="Ttulo1Char" w:customStyle="1">
    <w:name w:val="Título 1 Char"/>
    <w:basedOn w:val="DefaultParagraphFont"/>
    <w:uiPriority w:val="0"/>
    <w:qFormat/>
    <w:rPr>
      <w:rFonts w:ascii="Garamond" w:hAnsi="Garamond"/>
      <w:b/>
      <w:bCs/>
      <w:spacing w:val="60"/>
      <w:w w:val="150"/>
      <w:sz w:val="28"/>
      <w:szCs w:val="24"/>
    </w:rPr>
  </w:style>
  <w:style w:type="character" w:styleId="Ttulo2Char" w:customStyle="1">
    <w:name w:val="Título 2 Char"/>
    <w:basedOn w:val="DefaultParagraphFont"/>
    <w:uiPriority w:val="0"/>
    <w:qFormat/>
    <w:rPr>
      <w:rFonts w:ascii="Garamond" w:hAnsi="Garamond"/>
      <w:b/>
      <w:bCs/>
      <w:spacing w:val="60"/>
      <w:w w:val="150"/>
      <w:sz w:val="28"/>
      <w:szCs w:val="24"/>
    </w:rPr>
  </w:style>
  <w:style w:type="character" w:styleId="Ttulo3Char" w:customStyle="1">
    <w:name w:val="Título 3 Char"/>
    <w:basedOn w:val="DefaultParagraphFont"/>
    <w:uiPriority w:val="0"/>
    <w:qFormat/>
    <w:rPr>
      <w:b/>
      <w:bCs/>
      <w:spacing w:val="60"/>
      <w:w w:val="150"/>
      <w:sz w:val="24"/>
      <w:szCs w:val="24"/>
    </w:rPr>
  </w:style>
  <w:style w:type="character" w:styleId="Ttulo4Char" w:customStyle="1">
    <w:name w:val="Título 4 Char"/>
    <w:basedOn w:val="DefaultParagraphFont"/>
    <w:uiPriority w:val="0"/>
    <w:qFormat/>
    <w:rPr>
      <w:rFonts w:ascii="Trebuchet MS" w:hAnsi="Trebuchet MS" w:cs="Arial"/>
      <w:b/>
      <w:color w:val="FFFFFF"/>
      <w:sz w:val="18"/>
      <w:szCs w:val="36"/>
    </w:rPr>
  </w:style>
  <w:style w:type="character" w:styleId="Ttulo5Char" w:customStyle="1">
    <w:name w:val="Título 5 Char"/>
    <w:basedOn w:val="DefaultParagraphFont"/>
    <w:uiPriority w:val="0"/>
    <w:qFormat/>
    <w:rPr>
      <w:rFonts w:ascii="Trebuchet MS" w:hAnsi="Trebuchet MS" w:cs="Arial"/>
      <w:b/>
      <w:color w:val="808080"/>
      <w:sz w:val="24"/>
      <w:szCs w:val="36"/>
    </w:rPr>
  </w:style>
  <w:style w:type="character" w:styleId="Ttulo6Char" w:customStyle="1">
    <w:name w:val="Título 6 Char"/>
    <w:basedOn w:val="DefaultParagraphFont"/>
    <w:uiPriority w:val="0"/>
    <w:qFormat/>
    <w:rPr>
      <w:rFonts w:ascii="Trebuchet MS" w:hAnsi="Trebuchet MS"/>
      <w:color w:val="808080"/>
      <w:spacing w:val="60"/>
      <w:w w:val="200"/>
      <w:sz w:val="52"/>
      <w:szCs w:val="36"/>
    </w:rPr>
  </w:style>
  <w:style w:type="character" w:styleId="Ttulo7Char" w:customStyle="1">
    <w:name w:val="Título 7 Char"/>
    <w:basedOn w:val="DefaultParagraphFont"/>
    <w:uiPriority w:val="9"/>
    <w:semiHidden/>
    <w:qFormat/>
    <w:rPr>
      <w:rFonts w:ascii="Calibri" w:hAnsi="Calibri" w:eastAsia="Times New Roman" w:cs="Times New Roman"/>
      <w:sz w:val="24"/>
      <w:szCs w:val="24"/>
    </w:rPr>
  </w:style>
  <w:style w:type="character" w:styleId="CorpodetextoChar" w:customStyle="1">
    <w:name w:val="Corpo de texto Char"/>
    <w:basedOn w:val="DefaultParagraphFont"/>
    <w:uiPriority w:val="0"/>
    <w:semiHidden/>
    <w:qFormat/>
    <w:rPr>
      <w:rFonts w:ascii="Arial" w:hAnsi="Arial" w:cs="Arial"/>
      <w:b/>
      <w:bCs/>
      <w:sz w:val="22"/>
      <w:szCs w:val="24"/>
    </w:rPr>
  </w:style>
  <w:style w:type="character" w:styleId="Recuodecorpodetexto2Char" w:customStyle="1">
    <w:name w:val="Recuo de corpo de texto 2 Char"/>
    <w:basedOn w:val="DefaultParagraphFont"/>
    <w:link w:val="BodyTextIndent2"/>
    <w:uiPriority w:val="99"/>
    <w:semiHidden/>
    <w:qFormat/>
    <w:rPr>
      <w:sz w:val="24"/>
      <w:szCs w:val="24"/>
    </w:rPr>
  </w:style>
  <w:style w:type="character" w:styleId="TtuloChar" w:customStyle="1">
    <w:name w:val="Título Char"/>
    <w:basedOn w:val="DefaultParagraphFont"/>
    <w:uiPriority w:val="0"/>
    <w:qFormat/>
    <w:rPr>
      <w:rFonts w:ascii="Garamond" w:hAnsi="Garamond"/>
      <w:b/>
      <w:bCs/>
      <w:spacing w:val="60"/>
      <w:w w:val="150"/>
      <w:sz w:val="36"/>
      <w:szCs w:val="24"/>
    </w:rPr>
  </w:style>
  <w:style w:type="character" w:styleId="CabealhoChar" w:customStyle="1">
    <w:name w:val="Cabeçalho Char"/>
    <w:basedOn w:val="DefaultParagraphFont"/>
    <w:uiPriority w:val="99"/>
    <w:qFormat/>
    <w:rPr>
      <w:sz w:val="24"/>
      <w:szCs w:val="24"/>
    </w:rPr>
  </w:style>
  <w:style w:type="character" w:styleId="RodapChar" w:customStyle="1">
    <w:name w:val="Rodapé Char"/>
    <w:basedOn w:val="DefaultParagraphFont"/>
    <w:uiPriority w:val="99"/>
    <w:qFormat/>
    <w:rPr>
      <w:sz w:val="24"/>
      <w:szCs w:val="24"/>
    </w:rPr>
  </w:style>
  <w:style w:type="character" w:styleId="TextodebaloChar" w:customStyle="1">
    <w:name w:val="Texto de balão Char"/>
    <w:basedOn w:val="DefaultParagraphFont"/>
    <w:link w:val="BalloonText"/>
    <w:uiPriority w:val="99"/>
    <w:semiHidden/>
    <w:qFormat/>
    <w:rPr>
      <w:rFonts w:ascii="Tahoma" w:hAnsi="Tahoma" w:cs="Tahoma"/>
      <w:sz w:val="16"/>
      <w:szCs w:val="16"/>
    </w:rPr>
  </w:style>
  <w:style w:type="character" w:styleId="SubttuloChar" w:customStyle="1">
    <w:name w:val="Subtítulo Char"/>
    <w:basedOn w:val="DefaultParagraphFont"/>
    <w:uiPriority w:val="0"/>
    <w:qFormat/>
    <w:rPr>
      <w:rFonts w:ascii="Arial" w:hAnsi="Arial" w:cs="Arial"/>
      <w:b/>
      <w:bCs/>
      <w:sz w:val="22"/>
      <w:szCs w:val="24"/>
    </w:rPr>
  </w:style>
  <w:style w:type="character" w:styleId="TextodenotaderodapChar" w:customStyle="1">
    <w:name w:val="Texto de nota de rodapé Char"/>
    <w:basedOn w:val="DefaultParagraphFont"/>
    <w:uiPriority w:val="0"/>
    <w:semiHidden/>
    <w:qFormat/>
    <w:rPr/>
  </w:style>
  <w:style w:type="character" w:styleId="RecuodecorpodetextoChar" w:customStyle="1">
    <w:name w:val="Recuo de corpo de texto Char"/>
    <w:basedOn w:val="DefaultParagraphFont"/>
    <w:uiPriority w:val="0"/>
    <w:qFormat/>
    <w:rPr>
      <w:rFonts w:ascii="Calibri" w:hAnsi="Calibri"/>
      <w:sz w:val="24"/>
      <w:szCs w:val="24"/>
      <w:lang w:eastAsia="en-US" w:bidi="en-US"/>
    </w:rPr>
  </w:style>
  <w:style w:type="character" w:styleId="Appleconvertedspace" w:customStyle="1">
    <w:name w:val="apple-converted-space"/>
    <w:basedOn w:val="DefaultParagraphFont"/>
    <w:uiPriority w:val="0"/>
    <w:qFormat/>
    <w:rPr/>
  </w:style>
  <w:style w:type="character" w:styleId="Url" w:customStyle="1">
    <w:name w:val="url"/>
    <w:basedOn w:val="DefaultParagraphFont"/>
    <w:uiPriority w:val="0"/>
    <w:qFormat/>
    <w:rPr/>
  </w:style>
  <w:style w:type="character" w:styleId="Linkdainternetvisitado">
    <w:name w:val="FollowedHyperlink"/>
    <w:rPr>
      <w:color w:val="8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0"/>
    <w:semiHidden/>
    <w:pPr>
      <w:jc w:val="both"/>
    </w:pPr>
    <w:rPr>
      <w:rFonts w:ascii="Arial" w:hAnsi="Arial" w:cs="Arial"/>
      <w:b/>
      <w:bCs/>
      <w:sz w:val="22"/>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BodyTextIndent2">
    <w:name w:val="Body Text Indent 2"/>
    <w:basedOn w:val="Normal"/>
    <w:link w:val="Recuodecorpodetexto2Char"/>
    <w:uiPriority w:val="99"/>
    <w:unhideWhenUsed/>
    <w:qFormat/>
    <w:pPr>
      <w:spacing w:lineRule="auto" w:line="480" w:before="0" w:after="120"/>
      <w:ind w:left="283" w:hanging="0"/>
    </w:pPr>
    <w:rPr/>
  </w:style>
  <w:style w:type="paragraph" w:styleId="Ttulododocumento">
    <w:name w:val="Title"/>
    <w:basedOn w:val="Normal"/>
    <w:link w:val="TtuloChar"/>
    <w:uiPriority w:val="0"/>
    <w:qFormat/>
    <w:pPr>
      <w:jc w:val="center"/>
    </w:pPr>
    <w:rPr>
      <w:rFonts w:ascii="Garamond" w:hAnsi="Garamond"/>
      <w:b/>
      <w:bCs/>
      <w:spacing w:val="60"/>
      <w:w w:val="150"/>
      <w:sz w:val="36"/>
    </w:rPr>
  </w:style>
  <w:style w:type="paragraph" w:styleId="NormalWeb">
    <w:name w:val="Normal (Web)"/>
    <w:basedOn w:val="Normal"/>
    <w:uiPriority w:val="99"/>
    <w:qFormat/>
    <w:pPr>
      <w:spacing w:beforeAutospacing="1" w:afterAutospacing="1"/>
    </w:pPr>
    <w:rPr/>
  </w:style>
  <w:style w:type="paragraph" w:styleId="CabealhoeRodap">
    <w:name w:val="Cabeçalho e Rodapé"/>
    <w:basedOn w:val="Normal"/>
    <w:qFormat/>
    <w:pPr/>
    <w:rPr/>
  </w:style>
  <w:style w:type="paragraph" w:styleId="Cabealho">
    <w:name w:val="Header"/>
    <w:basedOn w:val="Normal"/>
    <w:link w:val="CabealhoChar"/>
    <w:uiPriority w:val="99"/>
    <w:pPr>
      <w:tabs>
        <w:tab w:val="clear" w:pos="709"/>
        <w:tab w:val="center" w:pos="4419" w:leader="none"/>
        <w:tab w:val="right" w:pos="8838" w:leader="none"/>
      </w:tabs>
    </w:pPr>
    <w:rPr/>
  </w:style>
  <w:style w:type="paragraph" w:styleId="Rodap">
    <w:name w:val="Footer"/>
    <w:basedOn w:val="Normal"/>
    <w:link w:val="RodapChar"/>
    <w:uiPriority w:val="99"/>
    <w:pPr>
      <w:tabs>
        <w:tab w:val="clear" w:pos="709"/>
        <w:tab w:val="center" w:pos="4419" w:leader="none"/>
        <w:tab w:val="right" w:pos="8838" w:leader="none"/>
      </w:tabs>
    </w:pPr>
    <w:rPr/>
  </w:style>
  <w:style w:type="paragraph" w:styleId="BalloonText">
    <w:name w:val="Balloon Text"/>
    <w:basedOn w:val="Normal"/>
    <w:link w:val="TextodebaloChar"/>
    <w:uiPriority w:val="99"/>
    <w:unhideWhenUsed/>
    <w:qFormat/>
    <w:pPr/>
    <w:rPr>
      <w:rFonts w:ascii="Tahoma" w:hAnsi="Tahoma" w:cs="Tahoma"/>
      <w:sz w:val="16"/>
      <w:szCs w:val="16"/>
    </w:rPr>
  </w:style>
  <w:style w:type="paragraph" w:styleId="Subttulo">
    <w:name w:val="Subtitle"/>
    <w:basedOn w:val="Normal"/>
    <w:link w:val="SubttuloChar"/>
    <w:uiPriority w:val="0"/>
    <w:qFormat/>
    <w:pPr>
      <w:ind w:left="2340" w:hanging="0"/>
      <w:jc w:val="right"/>
    </w:pPr>
    <w:rPr>
      <w:rFonts w:ascii="Arial" w:hAnsi="Arial" w:cs="Arial"/>
      <w:b/>
      <w:bCs/>
      <w:sz w:val="22"/>
    </w:rPr>
  </w:style>
  <w:style w:type="paragraph" w:styleId="Notaderodap">
    <w:name w:val="Footnote Text"/>
    <w:basedOn w:val="Normal"/>
    <w:link w:val="TextodenotaderodapChar"/>
    <w:uiPriority w:val="0"/>
    <w:unhideWhenUsed/>
    <w:pPr/>
    <w:rPr>
      <w:sz w:val="20"/>
      <w:szCs w:val="20"/>
    </w:rPr>
  </w:style>
  <w:style w:type="paragraph" w:styleId="ListBullet">
    <w:name w:val="List Bullet"/>
    <w:basedOn w:val="Normal"/>
    <w:uiPriority w:val="99"/>
    <w:unhideWhenUsed/>
    <w:qFormat/>
    <w:pPr>
      <w:numPr>
        <w:ilvl w:val="0"/>
        <w:numId w:val="1"/>
      </w:numPr>
      <w:spacing w:before="0" w:after="0"/>
      <w:contextualSpacing/>
    </w:pPr>
    <w:rPr/>
  </w:style>
  <w:style w:type="paragraph" w:styleId="Corpodotextorecuado">
    <w:name w:val="Body Text Indent"/>
    <w:basedOn w:val="Normal"/>
    <w:link w:val="RecuodecorpodetextoChar"/>
    <w:uiPriority w:val="0"/>
    <w:unhideWhenUsed/>
    <w:pPr>
      <w:spacing w:before="0" w:after="120"/>
      <w:ind w:left="283" w:hanging="0"/>
    </w:pPr>
    <w:rPr>
      <w:rFonts w:ascii="Calibri" w:hAnsi="Calibri"/>
      <w:lang w:eastAsia="en-US" w:bidi="en-US"/>
    </w:rPr>
  </w:style>
  <w:style w:type="paragraph" w:styleId="BodyTextIndent3" w:customStyle="1">
    <w:name w:val="Body Text Indent 3"/>
    <w:basedOn w:val="Normal"/>
    <w:uiPriority w:val="0"/>
    <w:qFormat/>
    <w:pPr>
      <w:overflowPunct w:val="true"/>
      <w:ind w:firstLine="1678"/>
      <w:jc w:val="both"/>
      <w:textAlignment w:val="baseline"/>
    </w:pPr>
    <w:rPr>
      <w:szCs w:val="20"/>
    </w:rPr>
  </w:style>
  <w:style w:type="paragraph" w:styleId="Artigo" w:customStyle="1">
    <w:name w:val="artigo"/>
    <w:basedOn w:val="Normal"/>
    <w:uiPriority w:val="0"/>
    <w:qFormat/>
    <w:pPr>
      <w:spacing w:beforeAutospacing="1" w:afterAutospacing="1"/>
    </w:pPr>
    <w:rPr/>
  </w:style>
  <w:style w:type="paragraph" w:styleId="ListParagraph">
    <w:name w:val="List Paragraph"/>
    <w:basedOn w:val="Normal"/>
    <w:uiPriority w:val="34"/>
    <w:qFormat/>
    <w:pPr>
      <w:spacing w:before="0" w:after="0"/>
      <w:ind w:left="720" w:hanging="0"/>
      <w:contextualSpacing/>
    </w:pPr>
    <w:rPr/>
  </w:style>
  <w:style w:type="paragraph" w:styleId="A260173" w:customStyle="1">
    <w:name w:val="_A260173"/>
    <w:basedOn w:val="Normal"/>
    <w:uiPriority w:val="0"/>
    <w:qFormat/>
    <w:pPr>
      <w:ind w:right="2400" w:firstLine="3000"/>
      <w:jc w:val="both"/>
    </w:pPr>
    <w:rPr>
      <w:sz w:val="20"/>
      <w:szCs w:val="20"/>
    </w:rPr>
  </w:style>
  <w:style w:type="paragraph" w:styleId="Contedodoquadro">
    <w:name w:val="Conteúdo do quadro"/>
    <w:basedOn w:val="Normal"/>
    <w:qFormat/>
    <w:pPr/>
    <w:rPr/>
  </w:style>
  <w:style w:type="paragraph" w:styleId="Default">
    <w:name w:val="Default"/>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paragraph" w:styleId="Textopadro">
    <w:name w:val="Texto padrão"/>
    <w:basedOn w:val="Normal"/>
    <w:qFormat/>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Contedodatabela">
    <w:name w:val="Conteúdo da tabela"/>
    <w:basedOn w:val="Normal"/>
    <w:qFormat/>
    <w:pPr>
      <w:widowControl/>
      <w:suppressLineNumbers/>
      <w:textAlignment w:val="baseline"/>
    </w:pPr>
    <w:rPr>
      <w:rFonts w:ascii="Liberation Serif;Times New Roma" w:hAnsi="Liberation Serif;Times New Roma" w:eastAsia="NSimSun" w:cs="Arial"/>
      <w:kern w:val="2"/>
      <w:lang w:eastAsia="zh-CN" w:bidi="hi-IN"/>
    </w:rPr>
  </w:style>
  <w:style w:type="paragraph" w:styleId="TableParagraph">
    <w:name w:val="Table Paragraph"/>
    <w:basedOn w:val="Normal"/>
    <w:qFormat/>
    <w:pPr/>
    <w:rPr>
      <w:rFonts w:ascii="Arial MT" w:hAnsi="Arial MT" w:eastAsia="Arial MT" w:cs="Arial MT"/>
      <w:lang w:val="pt-PT" w:eastAsia="en-US" w:bidi="ar-SA"/>
    </w:rPr>
  </w:style>
  <w:style w:type="table" w:default="1" w:styleId="10">
    <w:name w:val="Normal Table"/>
    <w:uiPriority w:val="99"/>
    <w:unhideWhenUsed/>
    <w:tblPr>
      <w:tblCellMar>
        <w:top w:w="0" w:type="dxa"/>
        <w:left w:w="108" w:type="dxa"/>
        <w:bottom w:w="0" w:type="dxa"/>
        <w:right w:w="108" w:type="dxa"/>
      </w:tblCellMar>
    </w:tblPr>
  </w:style>
  <w:style w:type="table" w:styleId="26">
    <w:name w:val="Table Grid"/>
    <w:basedOn w:val="10"/>
    <w:uiPriority w:val="5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Application>LibreOffice/7.4.2.3$Windows_X86_64 LibreOffice_project/382eef1f22670f7f4118c8c2dd222ec7ad009daf</Application>
  <AppVersion>15.0000</AppVersion>
  <Pages>1</Pages>
  <Words>0</Words>
  <Characters>0</Characters>
  <CharactersWithSpaces>0</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2009-03-25T23:40:00Z</dcterms:created>
  <dc:creator>Igor Frare Grandi</dc:creator>
  <dc:description/>
  <dc:language>pt-BR</dc:language>
  <cp:lastModifiedBy/>
  <cp:lastPrinted>2025-01-07T12:33:00Z</cp:lastPrinted>
  <dcterms:modified xsi:type="dcterms:W3CDTF">2025-01-30T14:48:18Z</dcterms:modified>
  <cp:revision>306</cp:revision>
  <dc:subject/>
  <dc:title>CONTRATO DE HONORÁRIOS ADVOCATÍCIOS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72D25CF4EA9F4DB28041D449321F0093_13</vt:lpwstr>
  </property>
  <property fmtid="{D5CDD505-2E9C-101B-9397-08002B2CF9AE}" pid="3" name="KSOProductBuildVer">
    <vt:lpwstr>1046-12.2.0.19307</vt:lpwstr>
  </property>
</Properties>
</file>