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MINUTA DE  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BoldMT" w:hAnsi="Arial-BoldMT"/>
          <w:b/>
          <w:sz w:val="21"/>
        </w:rPr>
        <w:tab/>
        <w:t>LICITAÇÃO EXCLUSIVAMENTE PARA MICRO E PEQUENAS EMPRESAS</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BoldMT" w:hAnsi="Arial-BoldMT"/>
          <w:b/>
          <w:sz w:val="21"/>
          <w:szCs w:val="21"/>
        </w:rPr>
        <w:t>(De acordo com o art. 48, I da Lei Complementar nº 123/2006 alterado pela lei 147/2014)</w:t>
      </w:r>
    </w:p>
    <w:p>
      <w:pPr>
        <w:pStyle w:val="Normal"/>
        <w:spacing w:lineRule="auto" w:line="300" w:before="0" w:after="0"/>
        <w:ind w:left="0" w:right="0" w:hanging="0"/>
        <w:jc w:val="center"/>
        <w:rPr>
          <w:rFonts w:ascii="Arial" w:hAnsi="Arial" w:cs="Arial"/>
          <w:b/>
          <w:b/>
          <w:bCs/>
          <w:i w:val="false"/>
          <w:i w:val="false"/>
          <w:iCs w:val="false"/>
          <w:color w:val="000000"/>
          <w:sz w:val="21"/>
          <w:szCs w:val="21"/>
        </w:rPr>
      </w:pPr>
      <w:r>
        <w:rPr>
          <w:rFonts w:cs="Arial" w:ascii="Arial" w:hAnsi="Arial"/>
          <w:b/>
          <w:bCs/>
          <w:i w:val="false"/>
          <w:iCs w:val="false"/>
          <w:color w:val="000000"/>
          <w:sz w:val="21"/>
          <w:szCs w:val="21"/>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FLAVIO LUIZ BENINI</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LOTE. JULGAMENTO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até as</w:t>
      </w:r>
      <w:r>
        <w:rPr>
          <w:b/>
          <w:bCs/>
          <w:color w:val="C9211E"/>
        </w:rPr>
        <w:t xml:space="preserve"> </w:t>
      </w:r>
      <w:r>
        <w:rPr>
          <w:b/>
          <w:bCs/>
          <w:color w:val="000000"/>
          <w:shd w:fill="auto" w:val="clear"/>
        </w:rPr>
        <w:t>08:30 horas do dia 16 de janeiro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às</w:t>
      </w:r>
      <w:r>
        <w:rPr>
          <w:rFonts w:ascii="Arial" w:hAnsi="Arial"/>
          <w:b/>
          <w:bCs/>
          <w:sz w:val="21"/>
          <w:szCs w:val="21"/>
          <w:shd w:fill="auto" w:val="clear"/>
        </w:rPr>
        <w:t xml:space="preserve"> </w:t>
      </w:r>
      <w:r>
        <w:rPr>
          <w:rFonts w:ascii="Arial" w:hAnsi="Arial"/>
          <w:b/>
          <w:bCs/>
          <w:color w:val="000000"/>
          <w:sz w:val="21"/>
          <w:szCs w:val="21"/>
          <w:shd w:fill="auto" w:val="clear"/>
        </w:rPr>
        <w:t>08:31 horas do dia 16 de janeiro de 2025.</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DATA LIMITE PARA IMPUGNAÇÃO E ESCLARECIMENTOS:</w:t>
      </w:r>
      <w:r>
        <w:rPr>
          <w:rFonts w:ascii="Arial" w:hAnsi="Arial"/>
          <w:b/>
          <w:bCs/>
          <w:color w:val="C9211E"/>
          <w:sz w:val="21"/>
          <w:szCs w:val="21"/>
          <w:shd w:fill="auto" w:val="clear"/>
        </w:rPr>
        <w:t xml:space="preserve"> </w:t>
      </w:r>
      <w:r>
        <w:rPr>
          <w:rFonts w:ascii="Arial" w:hAnsi="Arial"/>
          <w:b/>
          <w:bCs/>
          <w:color w:val="000000"/>
          <w:sz w:val="21"/>
          <w:szCs w:val="21"/>
          <w:shd w:fill="auto" w:val="clear"/>
        </w:rPr>
        <w:t xml:space="preserve">23h59m do dia  </w:t>
      </w:r>
      <w:r>
        <w:rPr>
          <w:rFonts w:ascii="Arial" w:hAnsi="Arial"/>
          <w:b/>
          <w:bCs/>
          <w:color w:val="000000"/>
          <w:sz w:val="21"/>
          <w:szCs w:val="21"/>
          <w:shd w:fill="auto" w:val="clear"/>
        </w:rPr>
        <w:t>13</w:t>
      </w:r>
      <w:r>
        <w:rPr>
          <w:rFonts w:ascii="Arial" w:hAnsi="Arial"/>
          <w:b/>
          <w:bCs/>
          <w:color w:val="000000"/>
          <w:sz w:val="21"/>
          <w:szCs w:val="21"/>
          <w:shd w:fill="auto" w:val="clear"/>
        </w:rPr>
        <w:t xml:space="preserve"> de </w:t>
      </w:r>
      <w:r>
        <w:rPr>
          <w:rFonts w:ascii="Arial" w:hAnsi="Arial"/>
          <w:b/>
          <w:bCs/>
          <w:color w:val="000000"/>
          <w:sz w:val="21"/>
          <w:szCs w:val="21"/>
          <w:shd w:fill="auto" w:val="clear"/>
        </w:rPr>
        <w:t>janeiro</w:t>
      </w:r>
      <w:r>
        <w:rPr>
          <w:rFonts w:ascii="Arial" w:hAnsi="Arial"/>
          <w:b/>
          <w:bCs/>
          <w:color w:val="000000"/>
          <w:sz w:val="21"/>
          <w:szCs w:val="21"/>
          <w:shd w:fill="auto" w:val="clear"/>
        </w:rPr>
        <w:t xml:space="preserve"> de 202</w:t>
      </w:r>
      <w:r>
        <w:rPr>
          <w:rFonts w:ascii="Arial" w:hAnsi="Arial"/>
          <w:b/>
          <w:bCs/>
          <w:color w:val="000000"/>
          <w:sz w:val="21"/>
          <w:szCs w:val="21"/>
          <w:shd w:fill="auto" w:val="clear"/>
        </w:rPr>
        <w:t>5</w:t>
      </w:r>
      <w:r>
        <w:rPr>
          <w:rFonts w:ascii="Arial" w:hAnsi="Arial"/>
          <w:b/>
          <w:bCs/>
          <w:color w:val="000000"/>
          <w:sz w:val="21"/>
          <w:szCs w:val="21"/>
          <w:shd w:fill="auto" w:val="clear"/>
        </w:rPr>
        <w:t>.</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OBJETO: A presente licitação tem como finalidade a realização de pregão eletrônico, com o objeto sendo o REGISTRO DE PREÇOS para a aquisição de gás de cozinha (GLP) nas versões de 13Kg e 45KG, para atendimento das necessidades dos órgãos ou entidades do Município de Lindóia do Sul, na condição de Órgãos participantes desta licitação, de acordo com  os quantitativos estimados e durante o prazo de vigência da Ata de Registro de Preços.</w:t>
      </w:r>
    </w:p>
    <w:p>
      <w:pPr>
        <w:pStyle w:val="Default"/>
        <w:spacing w:lineRule="auto" w:line="300" w:before="0" w:after="0"/>
        <w:ind w:left="0" w:right="0" w:hanging="0"/>
        <w:jc w:val="both"/>
        <w:rPr>
          <w:rFonts w:ascii="Arial" w:hAnsi="Arial" w:eastAsia="Times New Roman"/>
          <w:b w:val="false"/>
          <w:b w:val="false"/>
          <w:bCs w:val="false"/>
          <w:strike w:val="false"/>
          <w:dstrike w:val="false"/>
          <w:color w:val="000000"/>
          <w:sz w:val="22"/>
          <w:szCs w:val="21"/>
          <w:highlight w:val="white"/>
          <w:u w:val="none"/>
        </w:rPr>
      </w:pPr>
      <w:r>
        <w:rPr>
          <w:rFonts w:eastAsia="Times New Roman" w:ascii="Arial" w:hAnsi="Arial"/>
          <w:b w:val="false"/>
          <w:bCs w:val="false"/>
          <w:strike w:val="false"/>
          <w:dstrike w:val="false"/>
          <w:color w:val="000000"/>
          <w:sz w:val="22"/>
          <w:szCs w:val="21"/>
          <w:highlight w:val="white"/>
          <w:u w:val="none"/>
        </w:rPr>
      </w:r>
    </w:p>
    <w:p>
      <w:pPr>
        <w:pStyle w:val="Default"/>
        <w:spacing w:lineRule="auto" w:line="300" w:before="0" w:after="0"/>
        <w:ind w:left="0" w:right="0" w:hanging="0"/>
        <w:jc w:val="both"/>
        <w:rPr/>
      </w:pPr>
      <w:r>
        <w:rPr>
          <w:rFonts w:eastAsia="Times New Roman" w:ascii="Arial" w:hAnsi="Arial"/>
          <w:b w:val="false"/>
          <w:bCs w:val="false"/>
          <w:strike w:val="false"/>
          <w:dstrike w:val="false"/>
          <w:color w:val="000000"/>
          <w:sz w:val="22"/>
          <w:szCs w:val="21"/>
          <w:highlight w:val="white"/>
          <w:u w:val="none"/>
        </w:rPr>
        <w:t>O texto descritivo completo e informações pertinentes de cada item a ser licitado constam nos autos do processo licitatório em que se insere o Termo de Referência e estão anexas ao edital, constituindo parte integrante deste.</w:t>
      </w:r>
    </w:p>
    <w:p>
      <w:pPr>
        <w:pStyle w:val="Default"/>
        <w:spacing w:lineRule="auto" w:line="300" w:before="0" w:after="0"/>
        <w:ind w:left="0" w:right="0" w:hanging="0"/>
        <w:jc w:val="both"/>
        <w:rPr>
          <w:rFonts w:ascii="Arial" w:hAnsi="Arial" w:eastAsia="Times New Roman"/>
          <w:b w:val="false"/>
          <w:b w:val="false"/>
          <w:bCs w:val="false"/>
          <w:strike w:val="false"/>
          <w:dstrike w:val="false"/>
          <w:color w:val="000000"/>
          <w:sz w:val="22"/>
          <w:szCs w:val="21"/>
          <w:highlight w:val="white"/>
          <w:u w:val="none"/>
          <w:lang w:eastAsia="pt-BR"/>
        </w:rPr>
      </w:pPr>
      <w:r>
        <w:rPr>
          <w:rFonts w:eastAsia="Times New Roman" w:ascii="Arial" w:hAnsi="Arial"/>
          <w:b w:val="false"/>
          <w:bCs w:val="false"/>
          <w:strike w:val="false"/>
          <w:dstrike w:val="false"/>
          <w:color w:val="000000"/>
          <w:sz w:val="22"/>
          <w:szCs w:val="21"/>
          <w:highlight w:val="white"/>
          <w:u w:val="none"/>
          <w:lang w:eastAsia="pt-BR"/>
        </w:rPr>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R$ 28.360,00 (vinte e oito mil trezentos e sessenta reais)</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ascii="Arial" w:hAnsi="Arial"/>
          <w:b/>
          <w:bCs w:val="false"/>
          <w:strike w:val="false"/>
          <w:dstrike w:val="false"/>
          <w:color w:val="000000"/>
          <w:sz w:val="21"/>
          <w:szCs w:val="21"/>
          <w:u w:val="none"/>
        </w:rPr>
        <w:t xml:space="preserve"> </w:t>
      </w:r>
      <w:r>
        <w:rPr>
          <w:rFonts w:ascii="Arial" w:hAnsi="Arial"/>
          <w:b w:val="false"/>
          <w:bCs w:val="false"/>
          <w:strike w:val="false"/>
          <w:dstrike w:val="false"/>
          <w:color w:val="000000"/>
          <w:sz w:val="21"/>
          <w:szCs w:val="21"/>
          <w:u w:val="none"/>
        </w:rPr>
        <w:t>A presente licitação tem como finalidade a realização de pregão eletrônico, com o objeto sendo o REGISTRO DE PREÇOS para a aquisição de gás de cozinha (GLP) nas versões de 13Kg e 45KG, para atendimento das necessidades dos órgãos ou entidades do Município de Lindóia do Sul, na condição de Órgãos participantes desta licitação, de acordo com  os quantitativos estimados e durante o prazo de vigência da Ata de Registro de Preços.</w:t>
      </w:r>
    </w:p>
    <w:p>
      <w:pPr>
        <w:pStyle w:val="Default"/>
        <w:spacing w:lineRule="auto" w:line="300" w:before="0" w:after="0"/>
        <w:ind w:left="0" w:right="0" w:hanging="0"/>
        <w:jc w:val="both"/>
        <w:rPr>
          <w:rFonts w:ascii="Arial" w:hAnsi="Arial"/>
          <w:sz w:val="22"/>
        </w:rPr>
      </w:pPr>
      <w:r>
        <w:rPr>
          <w:rFonts w:ascii="Arial" w:hAnsi="Arial"/>
          <w:sz w:val="22"/>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Style w:val="LinkdaInternet"/>
          <w:rFonts w:ascii="Arial" w:hAnsi="Arial" w:cs="Arial"/>
          <w:color w:val="auto"/>
          <w:sz w:val="21"/>
          <w:szCs w:val="21"/>
          <w:u w:val="none"/>
        </w:rPr>
      </w:pPr>
      <w:r>
        <w:rPr>
          <w:rFonts w:cs="Arial" w:ascii="Arial" w:hAnsi="Arial"/>
          <w:color w:val="auto"/>
          <w:sz w:val="21"/>
          <w:szCs w:val="21"/>
          <w:u w:val="none"/>
        </w:rPr>
      </w:r>
    </w:p>
    <w:p>
      <w:pPr>
        <w:pStyle w:val="Normal"/>
        <w:jc w:val="left"/>
        <w:rPr/>
      </w:pPr>
      <w:r>
        <w:rPr>
          <w:rStyle w:val="LinkdaInternet"/>
          <w:rFonts w:cs="Arial" w:ascii="ArialMT" w:hAnsi="ArialMT"/>
          <w:color w:val="auto"/>
          <w:sz w:val="21"/>
          <w:szCs w:val="21"/>
          <w:u w:val="none"/>
        </w:rPr>
        <w:t>2.3. Nos termos do inciso I do Art. 48 da Lei Complementar nº 123, de 14/12/2006, alteração</w:t>
      </w:r>
    </w:p>
    <w:p>
      <w:pPr>
        <w:pStyle w:val="Normal"/>
        <w:jc w:val="left"/>
        <w:rPr/>
      </w:pPr>
      <w:r>
        <w:rPr>
          <w:rFonts w:ascii="ArialMT" w:hAnsi="ArialMT"/>
          <w:sz w:val="21"/>
        </w:rPr>
        <w:t>dada pela Lei Complementar nº 147, de 07/08/2014, a presente licitação é destinada à exclusiva</w:t>
      </w:r>
    </w:p>
    <w:p>
      <w:pPr>
        <w:pStyle w:val="Normal"/>
        <w:jc w:val="left"/>
        <w:rPr/>
      </w:pPr>
      <w:r>
        <w:rPr>
          <w:rFonts w:ascii="ArialMT" w:hAnsi="ArialMT"/>
          <w:sz w:val="21"/>
        </w:rPr>
        <w:t>participação de Micro e Pequenas Empresas.</w:t>
      </w:r>
    </w:p>
    <w:p>
      <w:pPr>
        <w:pStyle w:val="Normal"/>
        <w:jc w:val="left"/>
        <w:rPr>
          <w:rFonts w:ascii="ArialMT" w:hAnsi="ArialMT"/>
          <w:sz w:val="21"/>
        </w:rPr>
      </w:pPr>
      <w:r>
        <w:rPr>
          <w:rFonts w:ascii="ArialMT" w:hAnsi="ArialMT"/>
          <w:sz w:val="21"/>
        </w:rPr>
      </w:r>
    </w:p>
    <w:p>
      <w:pPr>
        <w:pStyle w:val="Normal"/>
        <w:jc w:val="left"/>
        <w:rPr/>
      </w:pPr>
      <w:r>
        <w:rPr>
          <w:rFonts w:ascii="ArialMT" w:hAnsi="ArialMT"/>
          <w:sz w:val="21"/>
        </w:rPr>
        <w:t>2.3.1. Consideram-se Micro e Pequenas Empresas aptas à participação no presente certame</w:t>
      </w:r>
    </w:p>
    <w:p>
      <w:pPr>
        <w:pStyle w:val="Normal"/>
        <w:jc w:val="left"/>
        <w:rPr/>
      </w:pPr>
      <w:r>
        <w:rPr>
          <w:rFonts w:ascii="ArialMT" w:hAnsi="ArialMT"/>
          <w:sz w:val="21"/>
        </w:rPr>
        <w:t>aquelas que preencham os requisitos do art. 3º da Lei Complementar nº 123/2006 e que não se</w:t>
      </w:r>
    </w:p>
    <w:p>
      <w:pPr>
        <w:pStyle w:val="Normal"/>
        <w:jc w:val="left"/>
        <w:rPr/>
      </w:pPr>
      <w:r>
        <w:rPr>
          <w:rFonts w:ascii="ArialMT" w:hAnsi="ArialMT"/>
          <w:sz w:val="21"/>
        </w:rPr>
        <w:t>enquadrem em nenhum das situações descritas no Parágrafo 4º do referido Art. 3º.</w:t>
      </w:r>
    </w:p>
    <w:p>
      <w:pPr>
        <w:pStyle w:val="Normal"/>
        <w:jc w:val="left"/>
        <w:rPr>
          <w:rFonts w:ascii="ArialMT" w:hAnsi="ArialMT"/>
          <w:sz w:val="21"/>
        </w:rPr>
      </w:pPr>
      <w:r>
        <w:rPr>
          <w:rFonts w:ascii="ArialMT" w:hAnsi="ArialMT"/>
          <w:sz w:val="21"/>
        </w:rPr>
      </w:r>
    </w:p>
    <w:p>
      <w:pPr>
        <w:pStyle w:val="Normal"/>
        <w:spacing w:lineRule="auto" w:line="360" w:before="0" w:after="0"/>
        <w:jc w:val="both"/>
        <w:rPr/>
      </w:pPr>
      <w:r>
        <w:rPr>
          <w:rFonts w:ascii="ArialMT" w:hAnsi="ArialMT"/>
          <w:sz w:val="21"/>
        </w:rPr>
        <w:t>2.3.2. Para fins de comprovação da condição de Micro ou Empresas de Pequeno Porte assim definidas aquelas que se enquadram na classificação descritas no art. 3º da Lei Complementar nº</w:t>
      </w:r>
    </w:p>
    <w:p>
      <w:pPr>
        <w:pStyle w:val="Normal"/>
        <w:spacing w:lineRule="auto" w:line="360" w:before="0" w:after="0"/>
        <w:jc w:val="both"/>
        <w:rPr/>
      </w:pPr>
      <w:r>
        <w:rPr>
          <w:rFonts w:ascii="ArialMT" w:hAnsi="ArialMT"/>
          <w:sz w:val="21"/>
        </w:rPr>
        <w:t>123/2006, as Licitantes deverão apresentar Certidão Simplificada da junta Comercial, ou outra</w:t>
      </w:r>
    </w:p>
    <w:p>
      <w:pPr>
        <w:pStyle w:val="Normal"/>
        <w:spacing w:lineRule="auto" w:line="360" w:before="0" w:after="0"/>
        <w:jc w:val="both"/>
        <w:rPr/>
      </w:pPr>
      <w:r>
        <w:rPr>
          <w:rFonts w:ascii="ArialMT" w:hAnsi="ArialMT"/>
          <w:sz w:val="21"/>
        </w:rPr>
        <w:t>declaração que comprove tal enquadramento, assinado pelo representante legal da empresa,</w:t>
      </w:r>
    </w:p>
    <w:p>
      <w:pPr>
        <w:pStyle w:val="Normal"/>
        <w:spacing w:lineRule="auto" w:line="360" w:before="0" w:after="0"/>
        <w:jc w:val="both"/>
        <w:rPr/>
      </w:pPr>
      <w:r>
        <w:rPr>
          <w:rFonts w:ascii="ArialMT" w:hAnsi="ArialMT"/>
          <w:sz w:val="21"/>
        </w:rPr>
        <w:t>conforme ao que dispõe o § 2º, art. 13 do Decreto nº 8.538 de 06 de outubro de 2015.</w:t>
      </w:r>
    </w:p>
    <w:p>
      <w:pPr>
        <w:pStyle w:val="Normal"/>
        <w:spacing w:lineRule="auto" w:line="276" w:before="0" w:after="0"/>
        <w:jc w:val="both"/>
        <w:rPr>
          <w:rFonts w:ascii="ArialMT" w:hAnsi="ArialMT"/>
          <w:sz w:val="21"/>
        </w:rPr>
      </w:pPr>
      <w:r>
        <w:rPr>
          <w:rFonts w:ascii="ArialMT" w:hAnsi="ArialMT"/>
          <w:sz w:val="21"/>
        </w:rPr>
      </w:r>
    </w:p>
    <w:p>
      <w:pPr>
        <w:pStyle w:val="Normal"/>
        <w:spacing w:lineRule="auto" w:line="360" w:before="0" w:after="0"/>
        <w:jc w:val="both"/>
        <w:rPr/>
      </w:pPr>
      <w:r>
        <w:rPr>
          <w:rFonts w:ascii="ArialMT" w:hAnsi="ArialMT"/>
          <w:sz w:val="21"/>
        </w:rPr>
        <w:t>2.3.3. No caso de participação de sociedades simples, que não registrarem seus atos na Junta Comercial, deverão apresentar declaração assinada pelo representante legal e contabilista, atestandoque sua receita bruta no ano-calendário anterior, não ultrapassou o limite definido no incisoII do caput do Art. 3° da Lei Complementar 123/2006.</w:t>
      </w:r>
    </w:p>
    <w:p>
      <w:pPr>
        <w:pStyle w:val="Normal"/>
        <w:spacing w:lineRule="auto" w:line="360" w:before="0" w:after="0"/>
        <w:jc w:val="left"/>
        <w:rPr>
          <w:rFonts w:ascii="ArialMT" w:hAnsi="ArialMT"/>
          <w:sz w:val="21"/>
        </w:rPr>
      </w:pPr>
      <w:r>
        <w:rPr>
          <w:rFonts w:ascii="ArialMT" w:hAnsi="ArialMT"/>
          <w:sz w:val="21"/>
        </w:rPr>
      </w:r>
    </w:p>
    <w:p>
      <w:pPr>
        <w:pStyle w:val="Normal"/>
        <w:jc w:val="both"/>
        <w:rPr/>
      </w:pPr>
      <w:r>
        <w:rPr>
          <w:rFonts w:ascii="ArialMT" w:hAnsi="ArialMT"/>
          <w:sz w:val="21"/>
        </w:rPr>
        <w:t xml:space="preserve">2.4. Poderão participar da presente licitação </w:t>
      </w:r>
      <w:r>
        <w:rPr>
          <w:rFonts w:ascii="Arial-BoldMT" w:hAnsi="Arial-BoldMT"/>
          <w:b/>
          <w:sz w:val="21"/>
        </w:rPr>
        <w:t>EXCLUSIVAMENTE Micro Empresas e/ou</w:t>
      </w:r>
    </w:p>
    <w:p>
      <w:pPr>
        <w:pStyle w:val="Normal"/>
        <w:jc w:val="both"/>
        <w:rPr/>
      </w:pPr>
      <w:r>
        <w:rPr>
          <w:rFonts w:ascii="Arial-BoldMT" w:hAnsi="Arial-BoldMT"/>
          <w:b/>
          <w:sz w:val="21"/>
        </w:rPr>
        <w:t>Empresa de Pequeno Porte</w:t>
      </w:r>
      <w:r>
        <w:rPr>
          <w:rFonts w:ascii="ArialMT" w:hAnsi="ArialMT"/>
          <w:sz w:val="21"/>
        </w:rPr>
        <w:t>, referente ao objeto do presente certame.</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condutas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t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t.1)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t.4)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t.5) As consultas para o CNPJ do licitante, constante nos itens “u.2”, “u.3” e “u.4”,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u) Registro na Agência Nacional do Petróleo -ANP em nome da empresa licitante.</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 xml:space="preserve"> </w:t>
      </w:r>
    </w:p>
    <w:p>
      <w:pPr>
        <w:pStyle w:val="Normal"/>
        <w:widowControl/>
        <w:suppressAutoHyphens w:val="true"/>
        <w:bidi w:val="0"/>
        <w:spacing w:lineRule="auto" w:line="276" w:before="0" w:after="0"/>
        <w:ind w:right="0" w:hanging="0"/>
        <w:jc w:val="both"/>
        <w:rPr>
          <w:rFonts w:ascii="Arial" w:hAnsi="Arial"/>
          <w:i w:val="false"/>
          <w:i w:val="false"/>
          <w:iCs w:val="false"/>
          <w:color w:val="000000"/>
          <w:sz w:val="24"/>
          <w:szCs w:val="24"/>
        </w:rPr>
      </w:pPr>
      <w:r>
        <w:rPr>
          <w:rFonts w:ascii="Arial" w:hAnsi="Arial"/>
          <w:i w:val="false"/>
          <w:iCs w:val="false"/>
          <w:color w:val="000000"/>
          <w:sz w:val="24"/>
          <w:szCs w:val="24"/>
        </w:rPr>
      </w:r>
    </w:p>
    <w:p>
      <w:pPr>
        <w:pStyle w:val="Normal"/>
        <w:widowControl/>
        <w:suppressAutoHyphens w:val="true"/>
        <w:bidi w:val="0"/>
        <w:spacing w:lineRule="auto" w:line="300" w:before="0" w:after="0"/>
        <w:ind w:left="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de MAIS VANTAJOSA, JULGAMENTO POR LOTE, MENOR PREÇO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as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as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suprarreferidos,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as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30(trinta)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FFFFFF" w:val="clear"/>
        </w:rPr>
        <w:t>19.5.1. Para tanto,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b/>
          <w:bCs/>
          <w:color w:val="000000"/>
          <w:sz w:val="21"/>
          <w:szCs w:val="21"/>
        </w:rPr>
        <w:t>20. DAS ENTREGAS E EXECUÇÃO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20.1. A contratação do item, com fornecimento parcelado, será efetuada conforme a necessidade da Secretaria demandante, devendo a detentora executar o objeto de acordo com as especificações contidas no item 9.1  do termo de referência anexo I deste edital.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20.2. A contratação com os fornecedores registrados será formalizada pelo Órgão Participante por intermédio de Solicitação de fornecimento de compra.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20.3. Os itens contratados deverão ser entregues no prazo máximo de 02 (dois) dias, a contar da data de recebimento da Autorização de Fornecimento (AF) que será enviada por meio eletrônico no local inidcado pelo Órgão participante, com a respectiva Nota Fiscal Eletrônica, e deverá ser enviado o aquivo XLM para o e-mail indicado  na autorização de Fornecimento</w:t>
      </w:r>
    </w:p>
    <w:p>
      <w:pPr>
        <w:pStyle w:val="Normal"/>
        <w:widowControl/>
        <w:suppressAutoHyphens w:val="true"/>
        <w:bidi w:val="0"/>
        <w:spacing w:lineRule="auto" w:line="300" w:before="0" w:after="0"/>
        <w:ind w:left="0" w:right="0" w:hanging="0"/>
        <w:jc w:val="both"/>
        <w:rPr>
          <w:rFonts w:cs="Arial"/>
          <w:color w:val="000000"/>
        </w:rPr>
      </w:pPr>
      <w:r>
        <w:rPr>
          <w:rFonts w:cs="Arial"/>
          <w:color w:val="000000"/>
        </w:rPr>
      </w:r>
    </w:p>
    <w:p>
      <w:pPr>
        <w:pStyle w:val="Normal"/>
        <w:widowControl/>
        <w:suppressAutoHyphens w:val="true"/>
        <w:bidi w:val="0"/>
        <w:spacing w:lineRule="auto" w:line="300" w:before="0" w:after="0"/>
        <w:ind w:left="0" w:right="0" w:hanging="0"/>
        <w:jc w:val="both"/>
        <w:rPr>
          <w:rFonts w:cs="Arial"/>
          <w:color w:val="000000"/>
        </w:rPr>
      </w:pPr>
      <w:r>
        <w:rPr>
          <w:rFonts w:cs="Arial"/>
          <w:color w:val="000000"/>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20.4. A empresa deverá entregar de segunda a sexta-feira, das 08:00 às 11:30 e das 13:30 às 17:00, conforme a necessidade do município , o produto nos endereços informados na Solicitação de Fornecimento, sem ônus para o município, deixando devidamente instalado em seu local e apto para uso, conferido por funcionário e que não haja nenhum vazamento no produto.</w:t>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A entrega do produto deve ser realizada por profissionais devidamente treinados, e identificados pela empresa contratada, nos locais abaixo:</w:t>
      </w:r>
    </w:p>
    <w:p>
      <w:pPr>
        <w:pStyle w:val="Normal"/>
        <w:widowControl/>
        <w:suppressAutoHyphens w:val="true"/>
        <w:bidi w:val="0"/>
        <w:spacing w:lineRule="auto" w:line="300" w:before="0" w:after="0"/>
        <w:ind w:left="0" w:right="0" w:hanging="0"/>
        <w:jc w:val="both"/>
        <w:rPr>
          <w:rFonts w:cs="Arial"/>
          <w:color w:val="000000"/>
        </w:rPr>
      </w:pPr>
      <w:r>
        <w:rPr>
          <w:rFonts w:cs="Arial"/>
          <w:color w:val="000000"/>
        </w:rPr>
      </w:r>
    </w:p>
    <w:p>
      <w:pPr>
        <w:pStyle w:val="Normal"/>
        <w:numPr>
          <w:ilvl w:val="0"/>
          <w:numId w:val="3"/>
        </w:numPr>
        <w:tabs>
          <w:tab w:val="clear" w:pos="708"/>
          <w:tab w:val="left" w:pos="720" w:leader="none"/>
        </w:tabs>
        <w:spacing w:before="142" w:after="142"/>
        <w:ind w:left="709" w:right="0" w:hanging="283"/>
        <w:jc w:val="both"/>
        <w:rPr/>
      </w:pPr>
      <w:r>
        <w:rPr>
          <w:rFonts w:eastAsia="Lucida Sans Unicode" w:ascii="Arial" w:hAnsi="Arial"/>
          <w:color w:val="000000"/>
          <w:kern w:val="2"/>
          <w:sz w:val="21"/>
          <w:szCs w:val="21"/>
          <w:lang w:bidi="ar-SA"/>
        </w:rPr>
        <w:t xml:space="preserve">Secretaria de Educação, Cultura e Turismo: Rua Tamandaré nº 98. </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Secretaria de Administração e Finanças: Rua Tamandaré nº 98.</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Secretaria de Saúde: Rua Tamandaré s/n (Frente a Prefeitura Municipal).</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Conselho Tutelar: Rua Sete de Setembro nº 275.</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Centro de Referência de Assistência Social: Rua XV de Novembro nº 320.</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Núcleo de Educação Ottaviano Nicolao: Rua da Amizade nº 369.</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Núcleo de Educação 15 de Novembro, Linha XV de Novembro, s/n, interior.</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 xml:space="preserve">Centro de Educação Infantil Roselene Fátima Bussolaro: Rua Sete de Setembro nº 436. </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Secretaria de Assistência Social: Rua 29 de Julho nº 407.</w:t>
      </w:r>
    </w:p>
    <w:p>
      <w:pPr>
        <w:pStyle w:val="Normal"/>
        <w:numPr>
          <w:ilvl w:val="0"/>
          <w:numId w:val="3"/>
        </w:numPr>
        <w:tabs>
          <w:tab w:val="clear" w:pos="708"/>
          <w:tab w:val="left" w:pos="720" w:leader="none"/>
        </w:tabs>
        <w:spacing w:before="142" w:after="142"/>
        <w:ind w:left="720" w:right="0" w:hanging="360"/>
        <w:jc w:val="both"/>
        <w:rPr/>
      </w:pPr>
      <w:r>
        <w:rPr>
          <w:rFonts w:eastAsia="Lucida Sans Unicode" w:ascii="Arial" w:hAnsi="Arial"/>
          <w:color w:val="000000"/>
          <w:kern w:val="2"/>
          <w:sz w:val="21"/>
          <w:szCs w:val="21"/>
          <w:lang w:bidi="ar-SA"/>
        </w:rPr>
        <w:t xml:space="preserve">Diretoria de Urbanismo: Rua 29 de Julho s/n. </w:t>
      </w:r>
    </w:p>
    <w:p>
      <w:pPr>
        <w:pStyle w:val="Normal"/>
        <w:numPr>
          <w:ilvl w:val="0"/>
          <w:numId w:val="3"/>
        </w:numPr>
        <w:tabs>
          <w:tab w:val="clear" w:pos="708"/>
          <w:tab w:val="left" w:pos="720" w:leader="none"/>
        </w:tabs>
        <w:spacing w:before="142" w:after="142"/>
        <w:ind w:left="720" w:right="0" w:hanging="360"/>
        <w:jc w:val="both"/>
        <w:rPr/>
      </w:pPr>
      <w:r>
        <w:rPr>
          <w:rFonts w:eastAsia="Lucida Sans Unicode" w:cs="Arial" w:ascii="Arial" w:hAnsi="Arial"/>
          <w:color w:val="000000"/>
          <w:kern w:val="2"/>
          <w:sz w:val="21"/>
          <w:szCs w:val="21"/>
          <w:lang w:bidi="ar-SA"/>
        </w:rPr>
        <w:t xml:space="preserve">Secretaria de Infraestrutura e Transportes: Lageado Acídio, S/N, interior. </w:t>
      </w:r>
    </w:p>
    <w:p>
      <w:pPr>
        <w:pStyle w:val="Normal"/>
        <w:numPr>
          <w:ilvl w:val="0"/>
          <w:numId w:val="3"/>
        </w:numPr>
        <w:spacing w:before="142" w:after="142"/>
        <w:ind w:left="720" w:right="0" w:hanging="0"/>
        <w:jc w:val="both"/>
        <w:rPr/>
      </w:pPr>
      <w:r>
        <w:rPr>
          <w:rFonts w:eastAsia="Lucida Sans Unicode" w:ascii="Arial" w:hAnsi="Arial"/>
          <w:color w:val="000000"/>
          <w:kern w:val="2"/>
          <w:sz w:val="21"/>
          <w:szCs w:val="21"/>
          <w:lang w:bidi="ar-SA"/>
        </w:rPr>
        <w:t>* Locais na área urbana e Rural do Município;</w:t>
      </w:r>
    </w:p>
    <w:p>
      <w:pPr>
        <w:pStyle w:val="Normal"/>
        <w:numPr>
          <w:ilvl w:val="0"/>
          <w:numId w:val="3"/>
        </w:numPr>
        <w:spacing w:lineRule="auto" w:line="360" w:before="142" w:after="142"/>
        <w:ind w:left="0" w:right="0" w:firstLine="720"/>
        <w:jc w:val="both"/>
        <w:rPr/>
      </w:pPr>
      <w:r>
        <w:rPr>
          <w:rFonts w:ascii="Arial" w:hAnsi="Arial"/>
          <w:color w:val="000000"/>
          <w:sz w:val="21"/>
          <w:szCs w:val="21"/>
        </w:rPr>
        <w:t>As empresas adjudicatárias deverão atender os requisitos como seguem:</w:t>
      </w:r>
    </w:p>
    <w:p>
      <w:pPr>
        <w:pStyle w:val="Normal"/>
        <w:numPr>
          <w:ilvl w:val="0"/>
          <w:numId w:val="3"/>
        </w:numPr>
        <w:spacing w:lineRule="auto" w:line="360" w:before="142" w:after="142"/>
        <w:jc w:val="both"/>
        <w:rPr>
          <w:rFonts w:ascii="Arial" w:hAnsi="Arial"/>
          <w:color w:val="000000"/>
          <w:sz w:val="21"/>
          <w:szCs w:val="21"/>
        </w:rPr>
      </w:pPr>
      <w:r>
        <w:rPr>
          <w:rFonts w:cs="Arial" w:ascii="Arial" w:hAnsi="Arial"/>
          <w:color w:val="000000"/>
          <w:sz w:val="21"/>
          <w:szCs w:val="21"/>
        </w:rPr>
        <w:tab/>
        <w:t>Os materiais devem ser entregues por item com seus respectivos quantitativos na nota fiscal. Devendo conter no rótulo a data de validade, peso ou volume, composição, origem, dados do importador (caso seja importado) e instruções de uso. A data de validade dos produtos deve estar em conformidade com a legislação relativa ao tema.</w:t>
      </w:r>
    </w:p>
    <w:p>
      <w:pPr>
        <w:pStyle w:val="Normal"/>
        <w:numPr>
          <w:ilvl w:val="0"/>
          <w:numId w:val="3"/>
        </w:numPr>
        <w:spacing w:lineRule="auto" w:line="360" w:before="142" w:after="142"/>
        <w:jc w:val="both"/>
        <w:rPr>
          <w:rFonts w:ascii="Arial" w:hAnsi="Arial"/>
          <w:color w:val="000000"/>
          <w:sz w:val="21"/>
          <w:szCs w:val="21"/>
        </w:rPr>
      </w:pPr>
      <w:r>
        <w:rPr>
          <w:rFonts w:cs="Arial" w:ascii="Arial" w:hAnsi="Arial"/>
          <w:color w:val="000000"/>
          <w:sz w:val="21"/>
          <w:szCs w:val="21"/>
        </w:rPr>
        <w:t>Os produtos não podem apresentar embalagens violadas, ou seja, abertas, amassadas, enferrujadas, estufadas ou com vazamentos, bem como, deverão estar livres de umidade, poeira, calor intenso, ou qualquer outro fator que possam causar dano ou contaminação aos usuários.</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20.5.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20.6.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spacing w:lineRule="auto" w:line="360" w:before="142" w:after="142"/>
        <w:jc w:val="both"/>
        <w:rPr/>
      </w:pPr>
      <w:r>
        <w:rPr>
          <w:rFonts w:cs="Arial" w:ascii="Arial" w:hAnsi="Arial"/>
          <w:color w:val="000000"/>
          <w:sz w:val="21"/>
          <w:szCs w:val="21"/>
        </w:rPr>
        <w:t>20.7. A prefeitura determinará funcionário para conferência da mercadoria no ato de recebimento.</w:t>
      </w:r>
      <w:r>
        <w:rPr>
          <w:rFonts w:eastAsia="Lucida Sans Unicode" w:cs="Arial" w:ascii="Arial" w:hAnsi="Arial"/>
          <w:color w:val="000000"/>
          <w:kern w:val="2"/>
          <w:sz w:val="21"/>
          <w:szCs w:val="21"/>
          <w:lang w:bidi="ar-SA"/>
        </w:rPr>
        <w:t xml:space="preserve"> O ato de recebimento não implica na aceitação do produto.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cs="Arial" w:ascii="Arial" w:hAnsi="Arial"/>
          <w:color w:val="000000"/>
          <w:sz w:val="21"/>
          <w:szCs w:val="21"/>
        </w:rPr>
        <w:t xml:space="preserve">20.8. Todas as despesas relacionadas com as entregas em cada órgão participante ocorrerão </w:t>
      </w:r>
    </w:p>
    <w:p>
      <w:pPr>
        <w:pStyle w:val="Normal"/>
        <w:spacing w:before="0" w:after="0"/>
        <w:jc w:val="both"/>
        <w:rPr>
          <w:rFonts w:ascii="Arial" w:hAnsi="Arial"/>
          <w:sz w:val="21"/>
          <w:szCs w:val="21"/>
        </w:rPr>
      </w:pPr>
      <w:r>
        <w:rPr>
          <w:rFonts w:ascii="Arial" w:hAnsi="Arial"/>
          <w:color w:val="000000"/>
          <w:sz w:val="21"/>
          <w:szCs w:val="21"/>
        </w:rPr>
        <w:t>por conta do fornecedor, sob o qual ficará a total responsabilidade de realizar o transporte adequado e manter em perfeitas condições de armazenamento todos os itens a serem entregues, garantindo a sua total eficiência e q</w:t>
      </w:r>
      <w:r>
        <w:rPr>
          <w:rFonts w:cs="Arial" w:ascii="Arial" w:hAnsi="Arial"/>
          <w:color w:val="000000"/>
          <w:sz w:val="21"/>
          <w:szCs w:val="21"/>
        </w:rPr>
        <w:t>ualidade.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20.9. Todos os custos relacionados à execução da garantia ou troca de produtos correrão por conta exclusiva do fornecedor, incluídos os custos de transporte, troca de peças/equipamentos, horas técnicas, deslocamento de pessoal.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142" w:leader="none"/>
        </w:tabs>
        <w:spacing w:lineRule="auto" w:line="360" w:before="142" w:after="142"/>
        <w:jc w:val="both"/>
        <w:rPr>
          <w:rFonts w:ascii="Arial" w:hAnsi="Arial"/>
          <w:sz w:val="21"/>
          <w:szCs w:val="21"/>
        </w:rPr>
      </w:pPr>
      <w:r>
        <w:rPr>
          <w:rFonts w:eastAsia="Times New Roman" w:ascii="Arial" w:hAnsi="Arial"/>
          <w:sz w:val="21"/>
          <w:szCs w:val="21"/>
          <w:lang w:eastAsia="pt-BR"/>
        </w:rPr>
        <w:t xml:space="preserve">20.10. Caso o produto não corresponda ao exigido a futura contratada deverá providenciar, no prazo máximo de </w:t>
      </w:r>
      <w:r>
        <w:rPr>
          <w:rFonts w:eastAsia="Times New Roman" w:ascii="Arial" w:hAnsi="Arial"/>
          <w:b/>
          <w:sz w:val="21"/>
          <w:szCs w:val="21"/>
          <w:lang w:eastAsia="pt-BR"/>
        </w:rPr>
        <w:t>2 (dois) dias corridos</w:t>
      </w:r>
      <w:r>
        <w:rPr>
          <w:rFonts w:eastAsia="Times New Roman" w:ascii="Arial" w:hAnsi="Arial"/>
          <w:sz w:val="21"/>
          <w:szCs w:val="21"/>
          <w:lang w:eastAsia="pt-BR"/>
        </w:rPr>
        <w:t>, a sua substituição, visando o atendimento das especificações, sob pena de rescisão contratual e aplicação das sanções previstas.</w:t>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rPr>
      </w:pPr>
      <w:r>
        <w:rPr>
          <w:rFonts w:ascii="Arial" w:hAnsi="Arial"/>
          <w:sz w:val="21"/>
          <w:szCs w:val="21"/>
        </w:rPr>
        <w:t>l) ANEXO XII –  Ata de Registro de Preços</w:t>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276" w:before="0" w:after="0"/>
        <w:ind w:left="0" w:right="0" w:hanging="0"/>
        <w:jc w:val="both"/>
        <w:rPr>
          <w:sz w:val="21"/>
          <w:szCs w:val="21"/>
        </w:rPr>
      </w:pPr>
      <w:r>
        <w:rPr>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Lindóia do Sul ,  02 de janeiro de 2025.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rPr>
      </w:pPr>
      <w:r>
        <w:rPr>
          <w:rFonts w:ascii="Arial" w:hAnsi="Arial"/>
          <w:b/>
          <w:bCs/>
          <w:sz w:val="21"/>
          <w:szCs w:val="21"/>
        </w:rPr>
        <w:t>Flavio Luiz Benini</w:t>
      </w:r>
    </w:p>
    <w:p>
      <w:pPr>
        <w:pStyle w:val="Normal"/>
        <w:widowControl/>
        <w:suppressAutoHyphens w:val="true"/>
        <w:bidi w:val="0"/>
        <w:spacing w:lineRule="auto" w:line="300" w:before="0" w:after="0"/>
        <w:ind w:left="0" w:right="0" w:hanging="0"/>
        <w:jc w:val="both"/>
        <w:rPr>
          <w:rFonts w:ascii="Arial" w:hAnsi="Arial"/>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rFonts w:ascii="Arial" w:hAnsi="Arial"/>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rPr>
      </w:pPr>
      <w:r>
        <w:rPr>
          <w:rFonts w:ascii="Arial" w:hAnsi="Arial"/>
          <w:b/>
          <w:bCs/>
          <w:sz w:val="21"/>
          <w:szCs w:val="21"/>
        </w:rPr>
        <w:t xml:space="preserve">TERMO DE REFERÊNCIA </w:t>
      </w:r>
    </w:p>
    <w:p>
      <w:pPr>
        <w:pStyle w:val="Normal"/>
        <w:widowControl/>
        <w:suppressAutoHyphens w:val="true"/>
        <w:bidi w:val="0"/>
        <w:spacing w:lineRule="auto" w:line="276" w:before="0" w:after="0"/>
        <w:ind w:left="0" w:right="0" w:hanging="0"/>
        <w:jc w:val="center"/>
        <w:rPr>
          <w:rFonts w:ascii="Arial" w:hAnsi="Arial"/>
        </w:rPr>
      </w:pPr>
      <w:r>
        <w:rPr>
          <w:rFonts w:ascii="Arial" w:hAnsi="Arial"/>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sz w:val="32"/>
          <w:szCs w:val="32"/>
        </w:rPr>
      </w:pPr>
      <w:r>
        <w:rPr>
          <w:b/>
          <w:bCs/>
          <w:sz w:val="32"/>
          <w:szCs w:val="32"/>
        </w:rPr>
        <w:t>TERMO DE REFERÊNCIA</w:t>
      </w:r>
    </w:p>
    <w:p>
      <w:pPr>
        <w:pStyle w:val="Normal"/>
        <w:tabs>
          <w:tab w:val="clear" w:pos="708"/>
          <w:tab w:val="left" w:pos="2340" w:leader="none"/>
          <w:tab w:val="left" w:pos="4464" w:leader="none"/>
        </w:tabs>
        <w:spacing w:lineRule="auto" w:line="360"/>
        <w:jc w:val="center"/>
        <w:rPr>
          <w:b/>
          <w:b/>
          <w:bCs/>
          <w:sz w:val="28"/>
          <w:szCs w:val="28"/>
        </w:rPr>
      </w:pPr>
      <w:r>
        <w:rPr>
          <w:b/>
          <w:bCs/>
          <w:sz w:val="28"/>
          <w:szCs w:val="28"/>
        </w:rPr>
      </w:r>
    </w:p>
    <w:p>
      <w:pPr>
        <w:pStyle w:val="Normal"/>
        <w:tabs>
          <w:tab w:val="clear" w:pos="708"/>
          <w:tab w:val="left" w:pos="2340" w:leader="none"/>
          <w:tab w:val="left" w:pos="4464" w:leader="none"/>
        </w:tabs>
        <w:spacing w:lineRule="auto" w:line="360"/>
        <w:jc w:val="center"/>
        <w:rPr>
          <w:b/>
          <w:b/>
          <w:bCs/>
          <w:sz w:val="28"/>
          <w:szCs w:val="28"/>
        </w:rPr>
      </w:pPr>
      <w:r>
        <w:rPr>
          <w:b/>
          <w:bCs/>
          <w:sz w:val="28"/>
          <w:szCs w:val="28"/>
        </w:rPr>
      </w:r>
    </w:p>
    <w:p>
      <w:pPr>
        <w:pStyle w:val="Normal"/>
        <w:tabs>
          <w:tab w:val="clear" w:pos="708"/>
          <w:tab w:val="left" w:pos="2340" w:leader="none"/>
          <w:tab w:val="left" w:pos="4464" w:leader="none"/>
        </w:tabs>
        <w:spacing w:lineRule="auto" w:line="360"/>
        <w:jc w:val="both"/>
        <w:rPr>
          <w:b/>
          <w:b/>
          <w:bCs/>
          <w:sz w:val="24"/>
          <w:szCs w:val="24"/>
        </w:rPr>
      </w:pPr>
      <w:r>
        <w:rPr>
          <w:b/>
          <w:bCs/>
          <w:sz w:val="24"/>
          <w:szCs w:val="24"/>
        </w:rPr>
        <w:t xml:space="preserve">PARA REALIZAÇÃO DE REGISTRO DE PREÇO NA MODALIDADE PREGÃO PARA EVENTUAL CONTRATAÇÃO, COM FORNECIMENTO PARCELADO, DE RECARGAS DE GÁS 13KG GLP E 45KG GLP, COM A FINALIDADE DE ATENDER ÀS NECESSIDADES DAS DIVERSAS SECRETARIAS E DEMAIS ÓRGÃOS QUE COMPÕEM A ESFERA MUNICIPAL DE LINDÓIA DO SUL, PARA PROPICIAR CONDIÇÕES PARA ATENDER AS ATIVIDADES DE TRABALHOS DAS SECRETÁRIAS DA PREFEITURA. </w:t>
      </w:r>
    </w:p>
    <w:p>
      <w:pPr>
        <w:pStyle w:val="Normal"/>
        <w:tabs>
          <w:tab w:val="clear" w:pos="708"/>
          <w:tab w:val="left" w:pos="2340" w:leader="none"/>
          <w:tab w:val="left" w:pos="4464" w:leader="none"/>
        </w:tabs>
        <w:spacing w:lineRule="auto" w:line="360"/>
        <w:jc w:val="both"/>
        <w:rPr>
          <w:b/>
          <w:b/>
          <w:sz w:val="24"/>
          <w:szCs w:val="24"/>
        </w:rPr>
      </w:pPr>
      <w:r>
        <w:rPr>
          <w:b/>
          <w:sz w:val="24"/>
          <w:szCs w:val="24"/>
        </w:rPr>
      </w:r>
    </w:p>
    <w:p>
      <w:pPr>
        <w:pStyle w:val="Normal"/>
        <w:rPr>
          <w:b/>
          <w:b/>
          <w:sz w:val="24"/>
          <w:szCs w:val="24"/>
        </w:rPr>
      </w:pPr>
      <w:r>
        <w:rPr>
          <w:b/>
          <w:sz w:val="24"/>
          <w:szCs w:val="24"/>
        </w:rPr>
      </w:r>
      <w:r>
        <w:br w:type="page"/>
      </w:r>
    </w:p>
    <w:p>
      <w:pPr>
        <w:pStyle w:val="ListParagraph"/>
        <w:numPr>
          <w:ilvl w:val="0"/>
          <w:numId w:val="1"/>
        </w:numPr>
        <w:tabs>
          <w:tab w:val="clear" w:pos="708"/>
          <w:tab w:val="left" w:pos="0" w:leader="none"/>
        </w:tabs>
        <w:spacing w:lineRule="auto" w:line="360" w:before="140" w:after="140"/>
        <w:contextualSpacing/>
        <w:rPr>
          <w:b/>
          <w:b/>
        </w:rPr>
      </w:pPr>
      <w:r>
        <w:rPr>
          <w:b/>
        </w:rPr>
        <w:t>DISPOSIÇÕES PRELIMINARES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Assim, o presente Termo de Referência configura-se como parte integrante da instrução do processo licitatório já iniciado para atendimento de demanda das secretarias do município por recarga de GLP (gás de cozinha de 13kg </w:t>
      </w:r>
      <w:r>
        <w:rPr>
          <w:bCs/>
          <w:sz w:val="21"/>
          <w:szCs w:val="21"/>
          <w:lang w:val="pt-BR"/>
        </w:rPr>
        <w:t>e</w:t>
      </w:r>
      <w:r>
        <w:rPr>
          <w:bCs/>
          <w:sz w:val="21"/>
          <w:szCs w:val="21"/>
        </w:rPr>
        <w:t xml:space="preserve"> 45kg), </w:t>
      </w:r>
      <w:r>
        <w:rPr>
          <w:rFonts w:eastAsia="SimSun"/>
          <w:sz w:val="21"/>
          <w:szCs w:val="21"/>
        </w:rPr>
        <w:t>destinado a atender as necessidades da Prefeitura Municipal de Lindóia do Sul, Fundos Municipais e respectivas Secretarias e Diretorias. O objetivo é garantir a alimentação escolar dos alunos da educação básica e fornecer suporte à Secretaria Municipal de Assistência Social, que abrange o Centro de Referência e Assistência Social (CRAS). Esta unidade atende diariamente diversos usuários e promove eventos e programas voltados à assistência social, os quais exigem o uso de gás de cozinha para a preparação de alimentos, além de atender outras áreas administrativas.</w:t>
      </w:r>
    </w:p>
    <w:p>
      <w:pPr>
        <w:pStyle w:val="NormalWeb"/>
        <w:keepNext w:val="false"/>
        <w:keepLines w:val="false"/>
        <w:widowControl/>
        <w:spacing w:lineRule="auto" w:line="360" w:before="280" w:after="280"/>
        <w:ind w:firstLine="720"/>
        <w:jc w:val="both"/>
        <w:rPr>
          <w:rFonts w:ascii="Arial" w:hAnsi="Arial" w:cs="Arial"/>
          <w:sz w:val="21"/>
          <w:szCs w:val="21"/>
        </w:rPr>
      </w:pPr>
      <w:r>
        <w:rPr>
          <w:rFonts w:cs="Arial" w:ascii="Arial" w:hAnsi="Arial"/>
          <w:sz w:val="21"/>
          <w:szCs w:val="21"/>
        </w:rPr>
        <w:t>Durante a realização do processo de licitação, foi identificada a necessidade de incluir mais departamentos que, inicialmente, não estavam previstos para a aquisição de Gás Liquefeito de Petróleo (GLP). Em virtude disso, houve um aumento na quantidade de GLP solicitada, a fim de atender às novas demandas desses setores adicionais.</w:t>
      </w:r>
    </w:p>
    <w:p>
      <w:pPr>
        <w:pStyle w:val="NormalWeb"/>
        <w:keepNext w:val="false"/>
        <w:keepLines w:val="false"/>
        <w:widowControl/>
        <w:spacing w:lineRule="auto" w:line="360" w:before="280" w:after="280"/>
        <w:ind w:firstLine="720"/>
        <w:jc w:val="both"/>
        <w:rPr>
          <w:rFonts w:ascii="Arial" w:hAnsi="Arial" w:cs="Arial"/>
          <w:sz w:val="21"/>
          <w:szCs w:val="21"/>
        </w:rPr>
      </w:pPr>
      <w:r>
        <w:rPr>
          <w:rFonts w:cs="Arial" w:ascii="Arial" w:hAnsi="Arial"/>
          <w:sz w:val="21"/>
          <w:szCs w:val="21"/>
        </w:rPr>
        <w:t>Importante destacar que, apesar do aumento na quantidade de GLP, o valor unitário do produto não sofreu alterações em relação ao estipulado no início do processo licitatório. A revisão da quantidade foi realizada exclusivamente para adequar o pedido à nova distribuição das necessidades, garantindo que todos os departamentos envolvidos possam ser atendidos de forma adequada.</w:t>
      </w:r>
    </w:p>
    <w:p>
      <w:pPr>
        <w:pStyle w:val="NormalWeb"/>
        <w:keepNext w:val="false"/>
        <w:keepLines w:val="false"/>
        <w:widowControl/>
        <w:spacing w:lineRule="auto" w:line="360" w:before="280" w:after="280"/>
        <w:ind w:firstLine="720"/>
        <w:jc w:val="both"/>
        <w:rPr>
          <w:rFonts w:ascii="Arial" w:hAnsi="Arial" w:cs="Arial"/>
          <w:sz w:val="21"/>
          <w:szCs w:val="21"/>
        </w:rPr>
      </w:pPr>
      <w:r>
        <w:rPr>
          <w:rFonts w:cs="Arial" w:ascii="Arial" w:hAnsi="Arial"/>
          <w:sz w:val="21"/>
          <w:szCs w:val="21"/>
        </w:rPr>
        <w:t>Essa alteração visa assegurar que a licitação atenda de maneira eficiente e completa às necessidades da organização, sem impactar no preço previamente estabelecido.</w:t>
      </w:r>
    </w:p>
    <w:p>
      <w:pPr>
        <w:pStyle w:val="Normal"/>
        <w:tabs>
          <w:tab w:val="clear" w:pos="708"/>
          <w:tab w:val="left" w:pos="2340" w:leader="none"/>
          <w:tab w:val="left" w:pos="4464" w:leader="none"/>
        </w:tabs>
        <w:spacing w:lineRule="auto" w:line="360" w:before="140" w:after="140"/>
        <w:ind w:firstLine="709"/>
        <w:jc w:val="both"/>
        <w:rPr>
          <w:rFonts w:ascii="Arial" w:hAnsi="Arial" w:eastAsia="SimSun" w:cs="Arial"/>
          <w:sz w:val="21"/>
          <w:szCs w:val="21"/>
          <w:lang w:val="pt-BR"/>
        </w:rPr>
      </w:pPr>
      <w:r>
        <w:rPr>
          <w:rFonts w:eastAsia="SimSun" w:cs="Arial" w:ascii="Arial" w:hAnsi="Arial"/>
          <w:sz w:val="21"/>
          <w:szCs w:val="21"/>
          <w:lang w:val="pt-BR"/>
        </w:rPr>
      </w:r>
    </w:p>
    <w:p>
      <w:pPr>
        <w:pStyle w:val="ListParagraph"/>
        <w:numPr>
          <w:ilvl w:val="0"/>
          <w:numId w:val="1"/>
        </w:numPr>
        <w:tabs>
          <w:tab w:val="clear" w:pos="708"/>
          <w:tab w:val="left" w:pos="0" w:leader="none"/>
        </w:tabs>
        <w:spacing w:lineRule="auto" w:line="360" w:before="140" w:after="140"/>
        <w:contextualSpacing/>
        <w:rPr>
          <w:b/>
          <w:b/>
          <w:sz w:val="21"/>
          <w:szCs w:val="21"/>
        </w:rPr>
      </w:pPr>
      <w:r>
        <w:rPr>
          <w:b/>
          <w:sz w:val="21"/>
          <w:szCs w:val="21"/>
        </w:rPr>
        <w:t>FUNDAMENTAÇÃO DA CONTRATAÇÃO</w:t>
      </w:r>
    </w:p>
    <w:p>
      <w:pPr>
        <w:pStyle w:val="Normal"/>
        <w:spacing w:lineRule="auto" w:line="360" w:before="140" w:after="140"/>
        <w:ind w:firstLine="709"/>
        <w:jc w:val="both"/>
        <w:rPr>
          <w:color w:val="000000"/>
          <w:sz w:val="21"/>
          <w:szCs w:val="21"/>
        </w:rPr>
      </w:pPr>
      <w:r>
        <w:rPr>
          <w:color w:val="000000"/>
          <w:sz w:val="21"/>
          <w:szCs w:val="21"/>
        </w:rPr>
        <w:t>Apesar de estar presente no corpo do Estudo Técnico Preliminar elaborado previamente a este Termo de Referência, cumpre expor a demanda que originou a realização deste processo licitatório.</w:t>
      </w:r>
    </w:p>
    <w:p>
      <w:pPr>
        <w:pStyle w:val="Normal"/>
        <w:spacing w:lineRule="auto" w:line="360" w:before="142" w:after="142"/>
        <w:ind w:firstLine="709"/>
        <w:jc w:val="both"/>
        <w:rPr/>
      </w:pPr>
      <w:r>
        <w:rPr>
          <w:rFonts w:eastAsia="Times New Roman"/>
          <w:color w:val="000000"/>
          <w:kern w:val="2"/>
          <w:sz w:val="21"/>
          <w:szCs w:val="21"/>
          <w:highlight w:val="white"/>
        </w:rPr>
        <w:t xml:space="preserve">A presente licitação é </w:t>
      </w:r>
      <w:r>
        <w:rPr>
          <w:rFonts w:eastAsia="Times New Roman"/>
          <w:color w:val="000000"/>
          <w:kern w:val="2"/>
          <w:sz w:val="21"/>
          <w:szCs w:val="21"/>
          <w:highlight w:val="white"/>
          <w:lang w:eastAsia="pt-BR"/>
        </w:rPr>
        <w:t xml:space="preserve">necessária para </w:t>
      </w:r>
      <w:r>
        <w:rPr>
          <w:rFonts w:eastAsia="Times New Roman"/>
          <w:color w:val="000000"/>
          <w:kern w:val="2"/>
          <w:sz w:val="21"/>
          <w:szCs w:val="21"/>
          <w:highlight w:val="white"/>
          <w:lang w:val="en-US" w:eastAsia="pt-BR"/>
        </w:rPr>
        <w:t xml:space="preserve">aquisição parcelada de recargas </w:t>
      </w:r>
      <w:r>
        <w:rPr>
          <w:sz w:val="21"/>
          <w:szCs w:val="21"/>
        </w:rPr>
        <w:t>de GLP (gás de cozinha) nos formatos de 13 kg e 45 kg. Essa contratação visa atender às demandas das diversas secretarias e órgãos municipais de Lindóia do Sul, proporcionando condições adequadas para o preparo de refeições, essenciais para o trabalho das equipes.</w:t>
      </w:r>
    </w:p>
    <w:p>
      <w:pPr>
        <w:pStyle w:val="Normal"/>
        <w:spacing w:lineRule="auto" w:line="360" w:before="142" w:after="142"/>
        <w:ind w:firstLine="720"/>
        <w:jc w:val="both"/>
        <w:rPr>
          <w:sz w:val="21"/>
          <w:szCs w:val="21"/>
        </w:rPr>
      </w:pPr>
      <w:r>
        <w:rPr>
          <w:sz w:val="21"/>
          <w:szCs w:val="21"/>
        </w:rPr>
        <w:t>A justificativa para a aquisição desses itens baseia-se no interesse público em manter os serviços de administração pública em níveis adequados. É fundamental oferecer aos usuários da administração municipal produtos que garantam a continuidade das atividades essenciais, permitindo o pleno funcionamento das unidades administrativas. Portanto, a aquisição de gás de cozinha é necessária para o desempenho eficiente das atividades e serviços produzidos.</w:t>
      </w:r>
    </w:p>
    <w:p>
      <w:pPr>
        <w:pStyle w:val="Normal"/>
        <w:spacing w:lineRule="auto" w:line="360" w:before="142" w:after="142"/>
        <w:ind w:firstLine="709"/>
        <w:jc w:val="both"/>
        <w:rPr>
          <w:sz w:val="21"/>
          <w:szCs w:val="21"/>
        </w:rPr>
      </w:pPr>
      <w:r>
        <w:rPr>
          <w:sz w:val="21"/>
          <w:szCs w:val="21"/>
        </w:rPr>
        <w:t>Tendo em vista a necessidade premente da Administração Pública em dar continuidade as atividades administrativas rotineiras, em atendimento ao art. 37 da Constituição Federal, o qual versa sobre o princípio da eficiência, esta aquisição de RECARGA DE GÁS GLP (Gás de Cozinha 13Kg e 45kg) se justifica com o intuito de proporcionar alimentação escolar aos alunos de educação básica (educação infantil, ensino fundamental I) matriculados nas escolas públicas do Município, contribuindo assim, para o crescimento e o desenvolvimento dos alunos e para a melhoria do rendimento escolar, em conformidade com a sua faixa etária e seu estado de saúde, inclusive dos que necessitam de atenção específica. A alimentação escolar é direito dos alunos da educação básica pública e dever do Estado, neste sentido se faz necessário a aquisição do presente objeto com intuito de satisfazer o interesse público.</w:t>
      </w:r>
    </w:p>
    <w:p>
      <w:pPr>
        <w:pStyle w:val="Normal"/>
        <w:spacing w:lineRule="auto" w:line="360" w:before="142" w:after="142"/>
        <w:ind w:firstLine="709"/>
        <w:jc w:val="both"/>
        <w:rPr>
          <w:sz w:val="21"/>
          <w:szCs w:val="21"/>
        </w:rPr>
      </w:pPr>
      <w:r>
        <w:rPr>
          <w:sz w:val="21"/>
          <w:szCs w:val="21"/>
        </w:rPr>
        <w:t>Deve ser considerada também a relação quantitativa da Secretaria Municipal de Assistência Social, que é composta pela demanda do Centro de Referência e Assistência Social – CRAS, que atendem diariamente vários usuários, realizam eventos e programas voltados à Assistência Social, que necessitam a utilização do gás de cozinha para a preparação dos alimentos.</w:t>
      </w:r>
    </w:p>
    <w:p>
      <w:pPr>
        <w:pStyle w:val="Normal"/>
        <w:spacing w:lineRule="auto" w:line="360" w:before="3" w:after="0"/>
        <w:jc w:val="both"/>
        <w:rPr/>
      </w:pPr>
      <w:r>
        <w:rPr/>
        <w:tab/>
      </w:r>
      <w:r>
        <w:rPr>
          <w:rFonts w:eastAsia="NSimSun"/>
          <w:kern w:val="2"/>
          <w:sz w:val="21"/>
          <w:szCs w:val="21"/>
        </w:rPr>
        <w:t>Para os itens desta licitação, serão apenas fornecimento de carga, pois o Município já possui os cascos.</w:t>
      </w:r>
    </w:p>
    <w:p>
      <w:pPr>
        <w:pStyle w:val="Normal"/>
        <w:spacing w:lineRule="auto" w:line="360" w:before="142" w:after="142"/>
        <w:jc w:val="both"/>
        <w:rPr/>
      </w:pPr>
      <w:r>
        <w:rPr>
          <w:rFonts w:eastAsia="Times New Roman"/>
          <w:sz w:val="21"/>
          <w:szCs w:val="21"/>
          <w:lang w:eastAsia="pt-BR"/>
        </w:rPr>
        <w:tab/>
      </w:r>
      <w:r>
        <w:rPr>
          <w:rFonts w:eastAsia="Times New Roman"/>
          <w:color w:val="000000"/>
          <w:kern w:val="2"/>
          <w:sz w:val="21"/>
          <w:szCs w:val="21"/>
          <w:highlight w:val="white"/>
          <w:lang w:eastAsia="pt-BR"/>
        </w:rPr>
        <w:t xml:space="preserve">Justifica-se a adoção do Sistema de Registro de Preços por se tratar de </w:t>
      </w:r>
      <w:r>
        <w:rPr>
          <w:rFonts w:eastAsia="Times New Roman"/>
          <w:color w:val="000000"/>
          <w:kern w:val="2"/>
          <w:sz w:val="21"/>
          <w:szCs w:val="21"/>
          <w:highlight w:val="white"/>
          <w:lang w:val="en-US" w:eastAsia="pt-BR"/>
        </w:rPr>
        <w:t xml:space="preserve">aquisição de GLP (gás de cozinha), </w:t>
      </w:r>
      <w:r>
        <w:rPr>
          <w:rFonts w:eastAsia="Times New Roman"/>
          <w:color w:val="000000"/>
          <w:kern w:val="2"/>
          <w:sz w:val="21"/>
          <w:szCs w:val="21"/>
          <w:highlight w:val="white"/>
          <w:lang w:eastAsia="pt-BR"/>
        </w:rPr>
        <w:t>cuja necessidade dar-se-á de forma variada e parcelada, além disso, a natureza do objeto não permite a definição prévia e exata do quantitativo demandado pela Administração.</w:t>
      </w:r>
      <w:r>
        <w:rPr>
          <w:rFonts w:eastAsia="NSimSun"/>
          <w:kern w:val="2"/>
          <w:sz w:val="21"/>
          <w:szCs w:val="21"/>
        </w:rPr>
        <w:t xml:space="preserve"> </w:t>
      </w:r>
    </w:p>
    <w:p>
      <w:pPr>
        <w:pStyle w:val="Normal"/>
        <w:spacing w:lineRule="auto" w:line="360" w:before="142" w:after="142"/>
        <w:ind w:firstLine="709"/>
        <w:jc w:val="both"/>
        <w:rPr>
          <w:rFonts w:eastAsia="NSimSun"/>
          <w:kern w:val="2"/>
          <w:sz w:val="21"/>
          <w:szCs w:val="21"/>
        </w:rPr>
      </w:pPr>
      <w:r>
        <w:rPr>
          <w:rFonts w:eastAsia="NSimSun"/>
          <w:kern w:val="2"/>
          <w:sz w:val="21"/>
          <w:szCs w:val="21"/>
        </w:rPr>
      </w:r>
    </w:p>
    <w:p>
      <w:pPr>
        <w:pStyle w:val="CimTextoNormal"/>
        <w:numPr>
          <w:ilvl w:val="1"/>
          <w:numId w:val="1"/>
        </w:numPr>
        <w:tabs>
          <w:tab w:val="clear" w:pos="708"/>
          <w:tab w:val="left" w:pos="0" w:leader="none"/>
        </w:tabs>
        <w:spacing w:before="140" w:after="140"/>
        <w:contextualSpacing/>
        <w:rPr>
          <w:b/>
          <w:b/>
          <w:bCs/>
          <w:sz w:val="24"/>
          <w:szCs w:val="24"/>
        </w:rPr>
      </w:pPr>
      <w:r>
        <w:rPr>
          <w:b/>
          <w:bCs/>
          <w:sz w:val="24"/>
          <w:szCs w:val="24"/>
        </w:rPr>
        <w:t>PROCEDIMENTO A SER REALIZADO PARA AQUISIÇÃO DO OBJETO</w:t>
      </w:r>
    </w:p>
    <w:p>
      <w:pPr>
        <w:pStyle w:val="Normal"/>
        <w:spacing w:lineRule="auto" w:line="360" w:before="140" w:after="140"/>
        <w:ind w:firstLine="709"/>
        <w:jc w:val="both"/>
        <w:rPr/>
      </w:pPr>
      <w:r>
        <w:rPr>
          <w:sz w:val="21"/>
          <w:szCs w:val="21"/>
        </w:rPr>
        <w:t xml:space="preserve">A partir da definição de que a aquisição do objeto supracitado realiza o atendimento da demanda exposta, cumpre retomar as conclusões já realizadas no ETP sobre o modo pelo qual o município irá </w:t>
      </w:r>
      <w:r>
        <w:rPr>
          <w:color w:val="000000"/>
          <w:sz w:val="21"/>
          <w:szCs w:val="21"/>
        </w:rPr>
        <w:t>disponibilizar a sua contratação aos seus órgãos ou entidades.</w:t>
      </w:r>
    </w:p>
    <w:p>
      <w:pPr>
        <w:pStyle w:val="Normal"/>
        <w:spacing w:lineRule="auto" w:line="360" w:before="140" w:after="140"/>
        <w:ind w:firstLine="709"/>
        <w:jc w:val="both"/>
        <w:rPr>
          <w:color w:val="000000"/>
          <w:sz w:val="21"/>
          <w:szCs w:val="21"/>
        </w:rPr>
      </w:pPr>
      <w:r>
        <w:rPr>
          <w:color w:val="000000"/>
          <w:sz w:val="21"/>
          <w:szCs w:val="21"/>
        </w:rPr>
        <w:t>De início, destaca-se que, nos termos decreto nº 4.072,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360" w:before="140" w:after="140"/>
        <w:ind w:firstLine="709"/>
        <w:jc w:val="both"/>
        <w:rPr/>
      </w:pPr>
      <w:r>
        <w:rPr>
          <w:color w:val="000000"/>
          <w:sz w:val="21"/>
          <w:szCs w:val="21"/>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iniciada durante a elaboração deste Estudo Técnico Preliminar – a qual será acostada aos autos deste processo – a existência de ampla variedade de fornecedores para os diversos itens que constituirão o objeto deste processo licitatório, viabilizando, assim, a sua competitividade. </w:t>
      </w:r>
    </w:p>
    <w:p>
      <w:pPr>
        <w:pStyle w:val="Normal"/>
        <w:spacing w:lineRule="auto" w:line="360" w:before="140" w:after="140"/>
        <w:ind w:firstLine="709"/>
        <w:jc w:val="both"/>
        <w:rPr/>
      </w:pPr>
      <w:r>
        <w:rPr>
          <w:color w:val="000000"/>
          <w:sz w:val="21"/>
          <w:szCs w:val="21"/>
        </w:rPr>
        <w:t xml:space="preserve">A respeito da possibilidade de realização de credenciamento, verifica-se que o presente caso não se subsume a qualquer das situações previstas no </w:t>
      </w:r>
      <w:r>
        <w:rPr>
          <w:i/>
          <w:iCs/>
          <w:color w:val="000000"/>
          <w:sz w:val="21"/>
          <w:szCs w:val="21"/>
        </w:rPr>
        <w:t>caput</w:t>
      </w:r>
      <w:r>
        <w:rPr>
          <w:color w:val="000000"/>
          <w:sz w:val="21"/>
          <w:szCs w:val="21"/>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360" w:before="140" w:after="140"/>
        <w:ind w:firstLine="709"/>
        <w:jc w:val="both"/>
        <w:rPr/>
      </w:pPr>
      <w:r>
        <w:rPr>
          <w:color w:val="000000"/>
          <w:sz w:val="21"/>
          <w:szCs w:val="21"/>
        </w:rPr>
        <w:t xml:space="preserve">Assim, não se configurando hipótese de contratação direta, tampouco de credenciamento, imperioso o cumprimento do dever constitucional de realização de licitação, a qual ocorrerá na modalidade pregão, visto que, nos termos do art. 6º, inciso XLI, e do art. 29, </w:t>
      </w:r>
      <w:r>
        <w:rPr>
          <w:i/>
          <w:iCs/>
          <w:color w:val="000000"/>
          <w:sz w:val="21"/>
          <w:szCs w:val="21"/>
        </w:rPr>
        <w:t>caput</w:t>
      </w:r>
      <w:r>
        <w:rPr>
          <w:color w:val="000000"/>
          <w:sz w:val="21"/>
          <w:szCs w:val="21"/>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pacing w:lineRule="auto" w:line="360" w:before="140" w:after="140"/>
        <w:ind w:firstLine="709"/>
        <w:jc w:val="both"/>
        <w:rPr>
          <w:color w:val="000000"/>
          <w:sz w:val="21"/>
          <w:szCs w:val="21"/>
        </w:rPr>
      </w:pPr>
      <w:r>
        <w:rPr>
          <w:color w:val="000000"/>
          <w:sz w:val="21"/>
          <w:szCs w:val="21"/>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spacing w:lineRule="auto" w:line="360" w:before="140" w:after="140"/>
        <w:ind w:firstLine="709"/>
        <w:jc w:val="both"/>
        <w:rPr>
          <w:color w:val="000000"/>
          <w:sz w:val="21"/>
          <w:szCs w:val="21"/>
        </w:rPr>
      </w:pPr>
      <w:r>
        <w:rPr>
          <w:color w:val="000000"/>
          <w:sz w:val="21"/>
          <w:szCs w:val="21"/>
        </w:rPr>
        <w:t xml:space="preserve">Ocorre que, tratando-se da aquisição, por diversos de órgãos e entidades do município, de uma diversidade de itens para atendimento de suas demandas internas, imediatas ou não, as quais podem variar em quantidade no decorrer do tempo, verifica-se que, para a mais adequada satisfação da demanda apresentada, em termos quantitativos e temporais, torna-se imperiosa a utilização do Sistema de Registro de Preços (SRP). </w:t>
      </w:r>
    </w:p>
    <w:p>
      <w:pPr>
        <w:pStyle w:val="Normal"/>
        <w:spacing w:lineRule="auto" w:line="360" w:before="140" w:after="140"/>
        <w:ind w:firstLine="709"/>
        <w:jc w:val="both"/>
        <w:rPr>
          <w:color w:val="000000"/>
          <w:sz w:val="21"/>
          <w:szCs w:val="21"/>
        </w:rPr>
      </w:pPr>
      <w:r>
        <w:rPr>
          <w:color w:val="000000"/>
          <w:sz w:val="21"/>
          <w:szCs w:val="21"/>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à prestação de serviços, a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das secretarias municipais.</w:t>
      </w:r>
    </w:p>
    <w:p>
      <w:pPr>
        <w:pStyle w:val="Normal"/>
        <w:spacing w:lineRule="auto" w:line="360" w:before="140" w:after="140"/>
        <w:ind w:firstLine="709"/>
        <w:jc w:val="both"/>
        <w:rPr>
          <w:color w:val="000000"/>
          <w:sz w:val="21"/>
          <w:szCs w:val="21"/>
        </w:rPr>
      </w:pPr>
      <w:r>
        <w:rPr>
          <w:color w:val="000000"/>
          <w:sz w:val="21"/>
          <w:szCs w:val="21"/>
        </w:rPr>
        <w:t>No âmbito de atuação do município, o Sistema de Registro de Preços encontra-se regulamentado pelo decreto nº 4.072.</w:t>
      </w:r>
    </w:p>
    <w:p>
      <w:pPr>
        <w:pStyle w:val="Normal"/>
        <w:spacing w:lineRule="auto" w:line="360" w:before="140" w:after="140"/>
        <w:ind w:firstLine="709"/>
        <w:jc w:val="both"/>
        <w:rPr>
          <w:color w:val="000000"/>
          <w:sz w:val="21"/>
          <w:szCs w:val="21"/>
        </w:rPr>
      </w:pPr>
      <w:r>
        <w:rPr>
          <w:color w:val="000000"/>
          <w:sz w:val="21"/>
          <w:szCs w:val="21"/>
        </w:rPr>
        <w:t xml:space="preserve">Nesse modelo licitatório, existem duas etapas. A primeira, centralizada, é realizada pelo município, voltada ao planejamento, seleção do fornecedor e, tratando-se de SRP, formalização da ata de registro de preços. A segunda, descentralizada, é voltada na aquisição efetiva dos bens e serviços pelos diversos órgãos e entidades do município, denominados Órgãos Participantes, sob sua gestão e responsabilidade. </w:t>
      </w:r>
    </w:p>
    <w:p>
      <w:pPr>
        <w:pStyle w:val="Normal"/>
        <w:spacing w:lineRule="auto" w:line="360" w:before="140" w:after="140"/>
        <w:ind w:firstLine="709"/>
        <w:jc w:val="both"/>
        <w:rPr/>
      </w:pPr>
      <w:r>
        <w:rPr>
          <w:bCs/>
          <w:color w:val="000000"/>
          <w:sz w:val="21"/>
          <w:szCs w:val="21"/>
        </w:rPr>
        <w:t>Ante o exposto, verifica-se que o procedimento licitatório mais adequado para a aquisição do objeto supracitado é a r</w:t>
      </w:r>
      <w:r>
        <w:rPr>
          <w:bCs/>
          <w:sz w:val="21"/>
          <w:szCs w:val="21"/>
        </w:rPr>
        <w:t xml:space="preserve">ealização de licitação, na modalidade pregão, pelo critério de menor preço e auxiliada pelo sistema de registro de preços, </w:t>
      </w:r>
      <w:r>
        <w:rPr>
          <w:bCs/>
          <w:color w:val="000000"/>
          <w:sz w:val="21"/>
          <w:szCs w:val="21"/>
        </w:rPr>
        <w:t>atuando o município como Órgão Gerenciador.</w:t>
      </w:r>
    </w:p>
    <w:p>
      <w:pPr>
        <w:pStyle w:val="Normal"/>
        <w:tabs>
          <w:tab w:val="clear" w:pos="708"/>
          <w:tab w:val="left" w:pos="2340" w:leader="none"/>
          <w:tab w:val="left" w:pos="4464" w:leader="none"/>
        </w:tabs>
        <w:spacing w:lineRule="auto" w:line="360" w:before="142" w:after="142"/>
        <w:ind w:firstLine="709"/>
        <w:jc w:val="both"/>
        <w:rPr/>
      </w:pPr>
      <w:r>
        <w:rPr>
          <w:bCs/>
          <w:color w:val="000000"/>
          <w:sz w:val="21"/>
          <w:szCs w:val="21"/>
        </w:rPr>
        <w:t>Tratando-se de processo licitat</w:t>
      </w:r>
      <w:r>
        <w:rPr>
          <w:bCs/>
          <w:sz w:val="21"/>
          <w:szCs w:val="21"/>
        </w:rPr>
        <w:t>ório visando o registro de preço dos itens listados, a estimativa total de quantidades para contratação é definida através da realização do procedimento público de intenção para registro de preços (IRP), previsto no art. 86 da Lei Federal n. 14.133/2021:</w:t>
      </w:r>
    </w:p>
    <w:p>
      <w:pPr>
        <w:pStyle w:val="Normal"/>
        <w:tabs>
          <w:tab w:val="clear" w:pos="708"/>
          <w:tab w:val="left" w:pos="2340" w:leader="none"/>
          <w:tab w:val="left" w:pos="4464" w:leader="none"/>
        </w:tabs>
        <w:spacing w:lineRule="auto" w:line="240" w:before="142" w:after="142"/>
        <w:ind w:left="2268" w:hanging="0"/>
        <w:jc w:val="both"/>
        <w:rPr>
          <w:bCs/>
          <w:sz w:val="18"/>
          <w:szCs w:val="18"/>
        </w:rPr>
      </w:pPr>
      <w:r>
        <w:rPr>
          <w:bCs/>
          <w:sz w:val="18"/>
          <w:szCs w:val="18"/>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pPr>
        <w:pStyle w:val="Normal"/>
        <w:spacing w:lineRule="auto" w:line="360" w:before="142" w:after="142"/>
        <w:ind w:firstLine="709"/>
        <w:jc w:val="both"/>
        <w:rPr>
          <w:bCs/>
          <w:sz w:val="21"/>
          <w:szCs w:val="21"/>
        </w:rPr>
      </w:pPr>
      <w:r>
        <w:rPr>
          <w:bCs/>
          <w:sz w:val="21"/>
          <w:szCs w:val="21"/>
        </w:rPr>
        <w:t>Destaca-se que este procedimento se encontra regulamentado no âmbito do município pelo Decreto nº 4.072, cito o Art. 118, §1º:</w:t>
      </w:r>
    </w:p>
    <w:p>
      <w:pPr>
        <w:pStyle w:val="Normal"/>
        <w:widowControl w:val="false"/>
        <w:spacing w:lineRule="auto" w:line="240" w:before="142" w:after="142"/>
        <w:ind w:left="2268" w:hanging="0"/>
        <w:jc w:val="both"/>
        <w:rPr>
          <w:bCs/>
          <w:sz w:val="18"/>
          <w:szCs w:val="18"/>
        </w:rPr>
      </w:pPr>
      <w:r>
        <w:rPr>
          <w:bCs/>
          <w:sz w:val="18"/>
          <w:szCs w:val="18"/>
        </w:rPr>
        <w:t>§ 1º O procedimento público de intenção de registro de preços poderá ser dispensa, de forma justificada pelo Órgão Gerenciador, quando for o único contratante ou de interesse restrito a órgãos ou entidades específicas da Administração.</w:t>
      </w:r>
    </w:p>
    <w:p>
      <w:pPr>
        <w:pStyle w:val="Normal"/>
        <w:widowControl w:val="false"/>
        <w:spacing w:lineRule="auto" w:line="360" w:before="142" w:after="142"/>
        <w:jc w:val="both"/>
        <w:rPr/>
      </w:pPr>
      <w:r>
        <w:rPr>
          <w:bCs/>
        </w:rPr>
        <w:tab/>
      </w:r>
      <w:r>
        <w:rPr>
          <w:bCs/>
          <w:sz w:val="21"/>
          <w:szCs w:val="21"/>
        </w:rPr>
        <w:t>Ante o exposto, 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órgão gerenciador.</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Tratando-se de processo licitatório visando o registro de preço dos itens listados, a estimativa total de quantidades para contratação foi definida através da demanda do município. Dessa forma que se encontra plenamente confirmada pelos próprios órgãos a necessidade de contratação apresentada, cujos quantitativos encontram-se discriminados nas páginas seguintes.</w:t>
      </w:r>
    </w:p>
    <w:p>
      <w:pPr>
        <w:pStyle w:val="ListParagraph"/>
        <w:numPr>
          <w:ilvl w:val="1"/>
          <w:numId w:val="1"/>
        </w:numPr>
        <w:tabs>
          <w:tab w:val="clear" w:pos="708"/>
          <w:tab w:val="left" w:pos="0" w:leader="none"/>
          <w:tab w:val="left" w:pos="709" w:leader="none"/>
        </w:tabs>
        <w:spacing w:lineRule="auto" w:line="360" w:before="140" w:after="140"/>
        <w:contextualSpacing/>
        <w:jc w:val="both"/>
        <w:rPr>
          <w:b/>
          <w:b/>
        </w:rPr>
      </w:pPr>
      <w:r>
        <w:rPr>
          <w:b/>
        </w:rPr>
        <w:t xml:space="preserve">PROVIDÊNCIAS A SEREM ADOTADAS PELA ADMINISTRAÇÃO E CONTRATAÇÕES CORRELATAS E/OU INTERDEPENDENTES  </w:t>
      </w:r>
    </w:p>
    <w:p>
      <w:pPr>
        <w:pStyle w:val="Normal"/>
        <w:spacing w:lineRule="auto" w:line="360" w:before="142" w:after="142"/>
        <w:ind w:firstLine="709"/>
        <w:jc w:val="both"/>
        <w:rPr>
          <w:rFonts w:eastAsia="Times New Roman"/>
          <w:sz w:val="21"/>
          <w:szCs w:val="21"/>
          <w:lang w:eastAsia="pt-BR"/>
        </w:rPr>
      </w:pPr>
      <w:r>
        <w:rPr>
          <w:rFonts w:eastAsia="Times New Roman"/>
          <w:sz w:val="21"/>
          <w:szCs w:val="21"/>
          <w:lang w:eastAsia="pt-BR"/>
        </w:rPr>
        <w:t>Tendo em vista a natureza da contratação almejada, não se configura necessária a elaboração de cronograma para adequação de ambientes visando o início da prestação dos serviços.</w:t>
      </w:r>
    </w:p>
    <w:p>
      <w:pPr>
        <w:pStyle w:val="Normal"/>
        <w:spacing w:lineRule="auto" w:line="360" w:before="140" w:after="140"/>
        <w:ind w:firstLine="709"/>
        <w:jc w:val="both"/>
        <w:rPr/>
      </w:pPr>
      <w:r>
        <w:rPr>
          <w:rFonts w:eastAsia="Times New Roman"/>
          <w:sz w:val="21"/>
          <w:szCs w:val="21"/>
          <w:lang w:eastAsia="pt-BR"/>
        </w:rPr>
        <w:tab/>
        <w:t>Ainda, entende-se que o serviço em tela não traz à tona novas peculiaridades que justifiquem a necessidade de capacitação específica para o acompanhamento da prestação dos serviços.</w:t>
      </w:r>
    </w:p>
    <w:p>
      <w:pPr>
        <w:pStyle w:val="Normal"/>
        <w:spacing w:lineRule="auto" w:line="360" w:before="140" w:after="140"/>
        <w:ind w:firstLine="709"/>
        <w:jc w:val="both"/>
        <w:rPr>
          <w:sz w:val="21"/>
          <w:szCs w:val="21"/>
        </w:rPr>
      </w:pPr>
      <w:r>
        <w:rPr>
          <w:sz w:val="21"/>
          <w:szCs w:val="21"/>
        </w:rPr>
        <w:t>Não há que se falar em contratações correlatas e/ou interdependentes no que tange ao presente objeto da contratação.</w:t>
      </w:r>
    </w:p>
    <w:p>
      <w:pPr>
        <w:pStyle w:val="Normal"/>
        <w:spacing w:lineRule="auto" w:line="360" w:before="140" w:after="140"/>
        <w:ind w:firstLine="709"/>
        <w:jc w:val="both"/>
        <w:rPr>
          <w:bCs/>
          <w:sz w:val="21"/>
          <w:szCs w:val="21"/>
        </w:rPr>
      </w:pPr>
      <w:r>
        <w:rPr>
          <w:bCs/>
          <w:sz w:val="21"/>
          <w:szCs w:val="21"/>
        </w:rPr>
        <w:t xml:space="preserve">Ressalta-se que, como em qualquer contratação decorrente de licitação centralizada efetivada pelo município, cabe ao órgão ou entidade a realização de algumas providências. Previamente à celebração do contrato para aquisição do bem ou prestação do serviço licitado, deverá realizar o seu levantamento de mercado para, considerando sua realidade social e orçamentária, definir quais dos itens licitados serão solicitados e quais providências e contratações deverão ser por si realizadas para o pleno atendimento de sua demanda específica. </w:t>
      </w:r>
    </w:p>
    <w:p>
      <w:pPr>
        <w:pStyle w:val="ListParagraph"/>
        <w:numPr>
          <w:ilvl w:val="0"/>
          <w:numId w:val="1"/>
        </w:numPr>
        <w:tabs>
          <w:tab w:val="clear" w:pos="708"/>
          <w:tab w:val="left" w:pos="0" w:leader="none"/>
        </w:tabs>
        <w:spacing w:lineRule="auto" w:line="360" w:before="140" w:after="140"/>
        <w:contextualSpacing/>
        <w:rPr>
          <w:b/>
          <w:b/>
        </w:rPr>
      </w:pPr>
      <w:r>
        <w:rPr>
          <w:b/>
        </w:rPr>
        <w:t>DEFINIÇÃO DO OBJETO</w:t>
      </w:r>
    </w:p>
    <w:p>
      <w:pPr>
        <w:pStyle w:val="ListParagraph"/>
        <w:numPr>
          <w:ilvl w:val="1"/>
          <w:numId w:val="1"/>
        </w:numPr>
        <w:tabs>
          <w:tab w:val="clear" w:pos="708"/>
          <w:tab w:val="left" w:pos="0" w:leader="none"/>
        </w:tabs>
        <w:spacing w:lineRule="auto" w:line="360" w:before="140" w:after="140"/>
        <w:contextualSpacing/>
        <w:rPr>
          <w:b/>
          <w:b/>
        </w:rPr>
      </w:pPr>
      <w:r>
        <w:rPr>
          <w:b/>
        </w:rPr>
        <w:t>OBJETO</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O presente processo licitatório tem como finalidade a realização de pregão eletrônico, com o objeto sendo o REGISTRO DE PREÇOS para a </w:t>
      </w:r>
      <w:r>
        <w:rPr>
          <w:b/>
          <w:bCs/>
          <w:sz w:val="21"/>
          <w:szCs w:val="21"/>
        </w:rPr>
        <w:t>aquisição de gás de cozinha (GLP)</w:t>
      </w:r>
      <w:r>
        <w:rPr>
          <w:bCs/>
          <w:sz w:val="21"/>
          <w:szCs w:val="21"/>
        </w:rPr>
        <w:t xml:space="preserve"> nas versões de 13kg e 45kg, para atendimento das necessidades dos órgãos ou entidades do Município de Lindóia do Sul, na condição de Órgãos Participantes desta licitação, de acordo com os quantitativos estimados e durante o prazo de vigência da Ata de Registro de Preços.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Na definição do objeto foi considerada uma diversidade de produtos que atendem às necessidades públicas, não existindo nenhum item que possui apenas um tipo ou um modelo que atenda à demanda dos órgãos e entidades do município, consequentemente sem nenhum direcionamento para determinadas marcas ou modelos.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O texto descritivo completo e informações pertinentes de cada item a ser licitado constam nos autos do processo licitatório em que se insere o presente Termo de Referência e estarão anexas ao Edital, constituindo parte integrante dele.</w:t>
      </w:r>
    </w:p>
    <w:p>
      <w:pPr>
        <w:pStyle w:val="ListParagraph"/>
        <w:numPr>
          <w:ilvl w:val="1"/>
          <w:numId w:val="1"/>
        </w:numPr>
        <w:tabs>
          <w:tab w:val="clear" w:pos="708"/>
          <w:tab w:val="left" w:pos="0" w:leader="none"/>
        </w:tabs>
        <w:spacing w:lineRule="auto" w:line="360" w:before="140" w:after="140"/>
        <w:contextualSpacing/>
        <w:rPr>
          <w:b/>
          <w:b/>
        </w:rPr>
      </w:pPr>
      <w:r>
        <w:rPr>
          <w:b/>
        </w:rPr>
        <w:t>NATUREZA</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Os itens que constituem o objeto do presente processo licitatório são classificados como bens de natureza comum, de fornecimento contínuo e de qualidade comum.</w:t>
      </w:r>
    </w:p>
    <w:p>
      <w:pPr>
        <w:pStyle w:val="ListParagraph"/>
        <w:numPr>
          <w:ilvl w:val="1"/>
          <w:numId w:val="1"/>
        </w:numPr>
        <w:tabs>
          <w:tab w:val="clear" w:pos="708"/>
          <w:tab w:val="left" w:pos="0" w:leader="none"/>
        </w:tabs>
        <w:spacing w:lineRule="auto" w:line="360" w:before="140" w:after="140"/>
        <w:contextualSpacing/>
        <w:rPr>
          <w:b/>
          <w:b/>
        </w:rPr>
      </w:pPr>
      <w:r>
        <w:rPr>
          <w:b/>
        </w:rPr>
        <w:t>JUSTIFICATIVA PARA O PARCELAMENTO OU NÃO DA CONTRATAÇÃO</w:t>
      </w:r>
    </w:p>
    <w:p>
      <w:pPr>
        <w:pStyle w:val="Normal"/>
        <w:spacing w:lineRule="auto" w:line="360" w:before="140" w:after="140"/>
        <w:ind w:firstLine="709"/>
        <w:jc w:val="both"/>
        <w:rPr>
          <w:sz w:val="21"/>
          <w:szCs w:val="21"/>
        </w:rPr>
      </w:pPr>
      <w:r>
        <w:rPr>
          <w:sz w:val="21"/>
          <w:szCs w:val="21"/>
        </w:rPr>
        <w:t>Em que pese o parcelamento ser regra, de forma que a licitação seja realizada por item, destaca-se que o objeto em questão não é considerado como divisível, pois eventual divisão por itens pode acarretar prejuízo nas atividades de fiscalização contratual. Entende-se, pois, que a aquisição separada dos bens não é vantajosa simplesmente por não se apresentar tecnicamente viável.</w:t>
      </w:r>
    </w:p>
    <w:p>
      <w:pPr>
        <w:pStyle w:val="Normal"/>
        <w:spacing w:lineRule="auto" w:line="360" w:before="140" w:after="140"/>
        <w:ind w:firstLine="709"/>
        <w:jc w:val="both"/>
        <w:rPr>
          <w:sz w:val="21"/>
          <w:szCs w:val="21"/>
        </w:rPr>
      </w:pPr>
      <w:r>
        <w:rPr>
          <w:sz w:val="21"/>
          <w:szCs w:val="21"/>
        </w:rPr>
        <w:t>Assim, eventual fragmentação do objeto, acarretando diversas contratações, poderá comprometer a execução dos serviços de forma que não se produza os resultados pretendidos.</w:t>
      </w:r>
    </w:p>
    <w:p>
      <w:pPr>
        <w:pStyle w:val="Normal"/>
        <w:spacing w:lineRule="auto" w:line="360" w:before="140" w:after="140"/>
        <w:ind w:firstLine="709"/>
        <w:jc w:val="both"/>
        <w:rPr/>
      </w:pPr>
      <w:r>
        <w:rPr>
          <w:sz w:val="21"/>
          <w:szCs w:val="21"/>
        </w:rPr>
        <w:tab/>
        <w:t>Vale ressaltar que a responsabilização de uma única empresa contratada se torna mais adequado não apenas em vista do acompanhamento dos serviços prestados, mas sobretudo em termos de facilitar a verificação das suas causas e atribuição de responsabilidade, de modo a aumentar o controle sobre a execução do objeto licitado. Portanto, analisando tecnicamente, a contratação de uma empresa para a prestação dos serviços se mostra mais satisfatória do que se fosse efetuada por várias.</w:t>
      </w:r>
    </w:p>
    <w:p>
      <w:pPr>
        <w:pStyle w:val="Normal"/>
        <w:tabs>
          <w:tab w:val="clear" w:pos="708"/>
          <w:tab w:val="left" w:pos="2340" w:leader="none"/>
          <w:tab w:val="left" w:pos="4464" w:leader="none"/>
        </w:tabs>
        <w:spacing w:lineRule="auto" w:line="360" w:before="140" w:after="140"/>
        <w:ind w:firstLine="709"/>
        <w:jc w:val="both"/>
        <w:rPr/>
      </w:pPr>
      <w:r>
        <w:rPr>
          <w:sz w:val="21"/>
          <w:szCs w:val="21"/>
        </w:rPr>
        <w:t>Ainda, corroborando a contratação de uma única empresa, ressalta-se a viabilidade da metodologia pleiteada e a disponibilidade de empresas para execução do objeto, ao passo que haverá melhor aproveitamento do mercado e ampliação da competitividade.</w:t>
      </w:r>
      <w:r>
        <w:rPr>
          <w:bCs/>
          <w:sz w:val="21"/>
          <w:szCs w:val="21"/>
        </w:rPr>
        <w:t xml:space="preserve"> </w:t>
      </w:r>
      <w:r>
        <w:rPr>
          <w:sz w:val="21"/>
          <w:szCs w:val="21"/>
        </w:rPr>
        <w:t xml:space="preserve">Por sua vez, os fornecedores deste tipo de produto já possuem expertise, logística e facilidade no fornecimento destes bens em lote, sem onerações ao órgão participante. </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Destaca-se o entendimento do Plenário do TCU, manifestado em seu Acórdão n. 2.407/2006, acerca da possibilidade de agrupamento dos itens, entre outros, para fins de ganhos de escala:</w:t>
      </w:r>
    </w:p>
    <w:p>
      <w:pPr>
        <w:pStyle w:val="Normal"/>
        <w:tabs>
          <w:tab w:val="clear" w:pos="708"/>
          <w:tab w:val="left" w:pos="2340" w:leader="none"/>
          <w:tab w:val="left" w:pos="4464" w:leader="none"/>
        </w:tabs>
        <w:spacing w:lineRule="auto" w:line="240" w:before="140" w:after="0"/>
        <w:ind w:left="2268" w:hanging="0"/>
        <w:jc w:val="both"/>
        <w:rPr>
          <w:sz w:val="18"/>
          <w:szCs w:val="18"/>
        </w:rPr>
      </w:pPr>
      <w:r>
        <w:rPr>
          <w:sz w:val="18"/>
          <w:szCs w:val="18"/>
        </w:rPr>
        <w:t>59. Como é sabido, a regra do fracionamento da contratação deve ser aplicada nas hipóteses em que isso for possível e representar vantagem para a Administração. Essa medida visa a ampliar a competitividade, sob o pressuposto de que a redução do porte das aquisições ampliaria o universo de possíveis interessados na disputa.</w:t>
      </w:r>
    </w:p>
    <w:p>
      <w:pPr>
        <w:pStyle w:val="Normal"/>
        <w:tabs>
          <w:tab w:val="clear" w:pos="708"/>
          <w:tab w:val="left" w:pos="2340" w:leader="none"/>
          <w:tab w:val="left" w:pos="4464" w:leader="none"/>
        </w:tabs>
        <w:spacing w:lineRule="auto" w:line="240"/>
        <w:ind w:left="2268" w:hanging="0"/>
        <w:jc w:val="both"/>
        <w:rPr>
          <w:sz w:val="18"/>
          <w:szCs w:val="18"/>
        </w:rPr>
      </w:pPr>
      <w:r>
        <w:rPr>
          <w:sz w:val="18"/>
          <w:szCs w:val="18"/>
        </w:rPr>
        <w:t>60. Essa regra, contudo, poderá ser mitigada em face de limites de ordem técnica, ou seja, o fracionamento em lotes deverá respeitar a integridade qualitativa do objeto a ser executado.</w:t>
      </w:r>
    </w:p>
    <w:p>
      <w:pPr>
        <w:pStyle w:val="Normal"/>
        <w:tabs>
          <w:tab w:val="clear" w:pos="708"/>
          <w:tab w:val="left" w:pos="2340" w:leader="none"/>
          <w:tab w:val="left" w:pos="4464" w:leader="none"/>
        </w:tabs>
        <w:spacing w:lineRule="auto" w:line="240" w:before="0" w:after="140"/>
        <w:ind w:left="2268" w:hanging="0"/>
        <w:jc w:val="both"/>
        <w:rPr>
          <w:sz w:val="18"/>
          <w:szCs w:val="18"/>
        </w:rPr>
      </w:pPr>
      <w:r>
        <w:rPr>
          <w:sz w:val="18"/>
          <w:szCs w:val="18"/>
        </w:rPr>
        <w:t>61. Além disso, o fracionamento da contratação poderá também esbarrar em impedimentos de ordem econômica, os quais se relacionam com o risco de o fracionamento aumentar o preço unitário a ser pago pela Administração. Logo, nas situações em que pode ocorrer o aumento dos custos para o Poder Público, não caberá falar em fracionamento, uma vez que a sua finalidade é a redução das despesas administrativas.</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E, da Segunda Câmara do TCU, em seu Acórdão n. 5.301/2013, do agrupamento em vista da economia de recursos humanos e facilidade de controle:</w:t>
      </w:r>
    </w:p>
    <w:p>
      <w:pPr>
        <w:pStyle w:val="Normal"/>
        <w:tabs>
          <w:tab w:val="clear" w:pos="708"/>
          <w:tab w:val="left" w:pos="2340" w:leader="none"/>
          <w:tab w:val="left" w:pos="4464" w:leader="none"/>
        </w:tabs>
        <w:spacing w:lineRule="auto" w:line="240" w:before="140" w:after="0"/>
        <w:ind w:left="2268" w:hanging="0"/>
        <w:jc w:val="both"/>
        <w:rPr/>
      </w:pPr>
      <w:r>
        <w:rPr>
          <w:sz w:val="18"/>
          <w:szCs w:val="18"/>
        </w:rPr>
        <w:t>13. Observa-se que, ao todo, esses 16 lotes contemplam 107 itens, o que me leva, materialmente, a acompanhar a seguinte conclusão da unidade técnica: “</w:t>
      </w:r>
      <w:r>
        <w:rPr>
          <w:i/>
          <w:iCs/>
          <w:sz w:val="18"/>
          <w:szCs w:val="18"/>
        </w:rPr>
        <w:t>A licitação por itens poderia exigir a realização de igual número de contratações, o que, como já ressaltado, constituiria um ônus muito pesado aos servidores encarregados do acompanhamento desses instrumentos, o que possivelmente oneraria a Administração</w:t>
      </w:r>
      <w:r>
        <w:rPr>
          <w:sz w:val="18"/>
          <w:szCs w:val="18"/>
        </w:rPr>
        <w:t>”.</w:t>
      </w:r>
    </w:p>
    <w:p>
      <w:pPr>
        <w:pStyle w:val="Normal"/>
        <w:tabs>
          <w:tab w:val="clear" w:pos="708"/>
          <w:tab w:val="left" w:pos="2340" w:leader="none"/>
          <w:tab w:val="left" w:pos="4464" w:leader="none"/>
        </w:tabs>
        <w:spacing w:lineRule="auto" w:line="240" w:before="0" w:after="140"/>
        <w:ind w:left="2268" w:hanging="0"/>
        <w:jc w:val="both"/>
        <w:rPr>
          <w:sz w:val="18"/>
          <w:szCs w:val="18"/>
        </w:rPr>
      </w:pPr>
      <w:r>
        <w:rPr>
          <w:sz w:val="18"/>
          <w:szCs w:val="18"/>
        </w:rPr>
        <w:t>14. Bem se vê, que o elevado número de procedimentos para seleção por itens isolados, tal como ocorreria no presente caso concreto, tornaria bem mais oneroso o trabalho da administração pública, sob o ponto de vista do emprego de recursos humanos e da dificuldade de controle, de sorte que poderia colocar em risco a economia de escala e a celeridade processual, comprometendo a seleção da proposta mais vantajosa para a administração.</w:t>
      </w:r>
    </w:p>
    <w:p>
      <w:pPr>
        <w:pStyle w:val="Normal"/>
        <w:tabs>
          <w:tab w:val="clear" w:pos="708"/>
          <w:tab w:val="left" w:pos="2340" w:leader="none"/>
          <w:tab w:val="left" w:pos="4464" w:leader="none"/>
        </w:tabs>
        <w:spacing w:lineRule="auto" w:line="360" w:before="140" w:after="140"/>
        <w:ind w:firstLine="709"/>
        <w:jc w:val="both"/>
        <w:rPr>
          <w:sz w:val="21"/>
          <w:szCs w:val="21"/>
        </w:rPr>
      </w:pPr>
      <w:bookmarkStart w:id="0" w:name="_Hlk129158485"/>
      <w:bookmarkStart w:id="1" w:name="_Hlk137476459"/>
      <w:bookmarkEnd w:id="1"/>
      <w:r>
        <w:rPr>
          <w:sz w:val="21"/>
          <w:szCs w:val="21"/>
        </w:rPr>
        <w:t>Assim, nos termos do art. 40, § 3º, da Lei Federal n. 14.133/2021 – o qual expressamente afasta a aplicação do parcelamento em determinadas situações – garantindo-se a economia em escala, redução de custos operacionais, redução de fretes e consequentemente a redução de custo final do produto, a divisão em lotes proporcionará a proposta mais vantajosa para Administração Pública e ocorrerá na forma exposta junto aos quantitativos.</w:t>
      </w:r>
      <w:bookmarkEnd w:id="0"/>
    </w:p>
    <w:p>
      <w:pPr>
        <w:pStyle w:val="ListParagraph"/>
        <w:numPr>
          <w:ilvl w:val="1"/>
          <w:numId w:val="1"/>
        </w:numPr>
        <w:tabs>
          <w:tab w:val="clear" w:pos="708"/>
          <w:tab w:val="left" w:pos="0" w:leader="none"/>
        </w:tabs>
        <w:spacing w:lineRule="auto" w:line="360" w:before="140" w:after="140"/>
        <w:contextualSpacing/>
        <w:rPr>
          <w:b/>
          <w:b/>
        </w:rPr>
      </w:pPr>
      <w:r>
        <w:rPr>
          <w:b/>
        </w:rPr>
        <w:t>QUANTITATIVOS</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Após levantamento realizado em cada setor, foi possível consolidar os itens constantes no processo licitatório e mensurar os quantitativos a serem licitados, conforme demanda dos órgãos ou entidades do município, exposta na tabela abaixo.</w:t>
      </w:r>
    </w:p>
    <w:tbl>
      <w:tblPr>
        <w:tblW w:w="5000" w:type="pct"/>
        <w:jc w:val="left"/>
        <w:tblInd w:w="55" w:type="dxa"/>
        <w:tblLayout w:type="fixed"/>
        <w:tblCellMar>
          <w:top w:w="55" w:type="dxa"/>
          <w:left w:w="55" w:type="dxa"/>
          <w:bottom w:w="55" w:type="dxa"/>
          <w:right w:w="55" w:type="dxa"/>
        </w:tblCellMar>
      </w:tblPr>
      <w:tblGrid>
        <w:gridCol w:w="651"/>
        <w:gridCol w:w="651"/>
        <w:gridCol w:w="763"/>
        <w:gridCol w:w="719"/>
        <w:gridCol w:w="3623"/>
        <w:gridCol w:w="2717"/>
      </w:tblGrid>
      <w:tr>
        <w:trPr/>
        <w:tc>
          <w:tcPr>
            <w:tcW w:w="651" w:type="dxa"/>
            <w:tcBorders>
              <w:top w:val="single" w:sz="4" w:space="0" w:color="000000"/>
              <w:left w:val="single" w:sz="4" w:space="0" w:color="000000"/>
              <w:bottom w:val="single" w:sz="4" w:space="0" w:color="000000"/>
            </w:tcBorders>
          </w:tcPr>
          <w:p>
            <w:pPr>
              <w:pStyle w:val="Contedodatabela"/>
              <w:widowControl w:val="false"/>
              <w:rPr>
                <w:b/>
                <w:b/>
                <w:bCs/>
                <w:sz w:val="21"/>
                <w:szCs w:val="21"/>
              </w:rPr>
            </w:pPr>
            <w:r>
              <w:rPr>
                <w:b/>
                <w:bCs/>
                <w:sz w:val="21"/>
                <w:szCs w:val="21"/>
              </w:rPr>
              <w:t>Lote</w:t>
            </w:r>
          </w:p>
        </w:tc>
        <w:tc>
          <w:tcPr>
            <w:tcW w:w="651" w:type="dxa"/>
            <w:tcBorders>
              <w:top w:val="single" w:sz="4" w:space="0" w:color="000000"/>
              <w:left w:val="single" w:sz="4" w:space="0" w:color="000000"/>
              <w:bottom w:val="single" w:sz="4" w:space="0" w:color="000000"/>
            </w:tcBorders>
          </w:tcPr>
          <w:p>
            <w:pPr>
              <w:pStyle w:val="Contedodatabela"/>
              <w:widowControl w:val="false"/>
              <w:rPr>
                <w:b/>
                <w:b/>
                <w:bCs/>
                <w:sz w:val="21"/>
                <w:szCs w:val="21"/>
              </w:rPr>
            </w:pPr>
            <w:r>
              <w:rPr>
                <w:b/>
                <w:bCs/>
                <w:sz w:val="21"/>
                <w:szCs w:val="21"/>
              </w:rPr>
              <w:t>Item</w:t>
            </w:r>
          </w:p>
        </w:tc>
        <w:tc>
          <w:tcPr>
            <w:tcW w:w="763" w:type="dxa"/>
            <w:tcBorders>
              <w:top w:val="single" w:sz="4" w:space="0" w:color="000000"/>
              <w:left w:val="single" w:sz="4" w:space="0" w:color="000000"/>
              <w:bottom w:val="single" w:sz="4" w:space="0" w:color="000000"/>
            </w:tcBorders>
          </w:tcPr>
          <w:p>
            <w:pPr>
              <w:pStyle w:val="Contedodatabela"/>
              <w:widowControl w:val="false"/>
              <w:rPr>
                <w:b/>
                <w:b/>
                <w:bCs/>
                <w:sz w:val="21"/>
                <w:szCs w:val="21"/>
              </w:rPr>
            </w:pPr>
            <w:r>
              <w:rPr>
                <w:b/>
                <w:bCs/>
                <w:sz w:val="21"/>
                <w:szCs w:val="21"/>
              </w:rPr>
              <w:t>Qtdde</w:t>
            </w:r>
          </w:p>
        </w:tc>
        <w:tc>
          <w:tcPr>
            <w:tcW w:w="719" w:type="dxa"/>
            <w:tcBorders>
              <w:top w:val="single" w:sz="4" w:space="0" w:color="000000"/>
              <w:left w:val="single" w:sz="4" w:space="0" w:color="000000"/>
              <w:bottom w:val="single" w:sz="4" w:space="0" w:color="000000"/>
            </w:tcBorders>
          </w:tcPr>
          <w:p>
            <w:pPr>
              <w:pStyle w:val="Contedodatabela"/>
              <w:widowControl w:val="false"/>
              <w:rPr>
                <w:b/>
                <w:b/>
                <w:bCs/>
                <w:sz w:val="21"/>
                <w:szCs w:val="21"/>
              </w:rPr>
            </w:pPr>
            <w:r>
              <w:rPr>
                <w:b/>
                <w:bCs/>
                <w:sz w:val="21"/>
                <w:szCs w:val="21"/>
              </w:rPr>
              <w:t>Und</w:t>
            </w:r>
          </w:p>
        </w:tc>
        <w:tc>
          <w:tcPr>
            <w:tcW w:w="3623" w:type="dxa"/>
            <w:tcBorders>
              <w:top w:val="single" w:sz="4" w:space="0" w:color="000000"/>
              <w:left w:val="single" w:sz="4" w:space="0" w:color="000000"/>
              <w:bottom w:val="single" w:sz="4" w:space="0" w:color="000000"/>
            </w:tcBorders>
          </w:tcPr>
          <w:p>
            <w:pPr>
              <w:pStyle w:val="Contedodatabela"/>
              <w:widowControl w:val="false"/>
              <w:rPr>
                <w:b/>
                <w:b/>
                <w:bCs/>
                <w:sz w:val="21"/>
                <w:szCs w:val="21"/>
              </w:rPr>
            </w:pPr>
            <w:r>
              <w:rPr>
                <w:b/>
                <w:bCs/>
                <w:sz w:val="21"/>
                <w:szCs w:val="21"/>
              </w:rPr>
              <w:t>Descrição</w:t>
            </w:r>
          </w:p>
        </w:tc>
        <w:tc>
          <w:tcPr>
            <w:tcW w:w="2717" w:type="dxa"/>
            <w:tcBorders>
              <w:top w:val="single" w:sz="4" w:space="0" w:color="000000"/>
              <w:left w:val="single" w:sz="4" w:space="0" w:color="000000"/>
              <w:bottom w:val="single" w:sz="4" w:space="0" w:color="000000"/>
              <w:right w:val="single" w:sz="4" w:space="0" w:color="000000"/>
            </w:tcBorders>
          </w:tcPr>
          <w:p>
            <w:pPr>
              <w:pStyle w:val="Contedodatabela"/>
              <w:widowControl w:val="false"/>
              <w:rPr>
                <w:b/>
                <w:b/>
                <w:bCs/>
                <w:sz w:val="21"/>
                <w:szCs w:val="21"/>
              </w:rPr>
            </w:pPr>
            <w:r>
              <w:rPr>
                <w:b/>
                <w:bCs/>
                <w:sz w:val="21"/>
                <w:szCs w:val="21"/>
              </w:rPr>
              <w:t>Quantidade por secretaria</w:t>
            </w:r>
          </w:p>
        </w:tc>
      </w:tr>
      <w:tr>
        <w:trPr/>
        <w:tc>
          <w:tcPr>
            <w:tcW w:w="651" w:type="dxa"/>
            <w:vMerge w:val="restart"/>
            <w:tcBorders>
              <w:left w:val="single" w:sz="4" w:space="0" w:color="000000"/>
            </w:tcBorders>
          </w:tcPr>
          <w:p>
            <w:pPr>
              <w:pStyle w:val="Contedodatabela"/>
              <w:widowControl w:val="false"/>
              <w:snapToGrid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t>01</w:t>
            </w:r>
          </w:p>
        </w:tc>
        <w:tc>
          <w:tcPr>
            <w:tcW w:w="651" w:type="dxa"/>
            <w:tcBorders>
              <w:left w:val="single" w:sz="4" w:space="0" w:color="000000"/>
              <w:bottom w:val="single" w:sz="4" w:space="0" w:color="000000"/>
            </w:tcBorders>
          </w:tcPr>
          <w:p>
            <w:pPr>
              <w:pStyle w:val="Contedodatabela"/>
              <w:widowControl w:val="false"/>
              <w:snapToGrid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r>
          </w:p>
          <w:p>
            <w:pPr>
              <w:pStyle w:val="Contedodatabela"/>
              <w:widowControl w:val="false"/>
              <w:jc w:val="center"/>
              <w:rPr>
                <w:b/>
                <w:b/>
                <w:bCs/>
                <w:sz w:val="21"/>
                <w:szCs w:val="21"/>
              </w:rPr>
            </w:pPr>
            <w:r>
              <w:rPr>
                <w:b/>
                <w:bCs/>
                <w:sz w:val="21"/>
                <w:szCs w:val="21"/>
              </w:rPr>
              <w:t>01</w:t>
            </w:r>
          </w:p>
        </w:tc>
        <w:tc>
          <w:tcPr>
            <w:tcW w:w="763" w:type="dxa"/>
            <w:tcBorders>
              <w:left w:val="single" w:sz="4" w:space="0" w:color="000000"/>
              <w:bottom w:val="single" w:sz="4" w:space="0" w:color="000000"/>
            </w:tcBorders>
          </w:tcPr>
          <w:p>
            <w:pPr>
              <w:pStyle w:val="Contedodatabela"/>
              <w:widowControl w:val="false"/>
              <w:snapToGrid w:val="false"/>
              <w:jc w:val="center"/>
              <w:rPr>
                <w:b/>
                <w:b/>
                <w:bCs/>
                <w:sz w:val="21"/>
                <w:szCs w:val="21"/>
              </w:rPr>
            </w:pPr>
            <w:r>
              <w:rPr>
                <w:b/>
                <w:bCs/>
                <w:sz w:val="21"/>
                <w:szCs w:val="21"/>
              </w:rPr>
            </w:r>
          </w:p>
          <w:p>
            <w:pPr>
              <w:pStyle w:val="Contedodatabela"/>
              <w:widowControl w:val="false"/>
              <w:snapToGrid w:val="false"/>
              <w:jc w:val="center"/>
              <w:rPr>
                <w:sz w:val="21"/>
                <w:szCs w:val="21"/>
              </w:rPr>
            </w:pPr>
            <w:r>
              <w:rPr>
                <w:sz w:val="21"/>
                <w:szCs w:val="21"/>
              </w:rPr>
            </w:r>
          </w:p>
          <w:p>
            <w:pPr>
              <w:pStyle w:val="Contedodatabela"/>
              <w:widowControl w:val="false"/>
              <w:snapToGrid w:val="false"/>
              <w:jc w:val="center"/>
              <w:rPr>
                <w:sz w:val="21"/>
                <w:szCs w:val="21"/>
              </w:rPr>
            </w:pPr>
            <w:r>
              <w:rPr>
                <w:sz w:val="21"/>
                <w:szCs w:val="21"/>
              </w:rPr>
            </w:r>
          </w:p>
          <w:p>
            <w:pPr>
              <w:pStyle w:val="Contedodatabela"/>
              <w:widowControl w:val="false"/>
              <w:snapToGrid w:val="false"/>
              <w:jc w:val="center"/>
              <w:rPr/>
            </w:pPr>
            <w:r>
              <w:rPr>
                <w:sz w:val="21"/>
                <w:szCs w:val="21"/>
                <w:lang w:val="pt-BR"/>
              </w:rPr>
              <w:t>9</w:t>
            </w:r>
            <w:r>
              <w:rPr>
                <w:sz w:val="21"/>
                <w:szCs w:val="21"/>
              </w:rPr>
              <w:t>3</w:t>
            </w:r>
          </w:p>
        </w:tc>
        <w:tc>
          <w:tcPr>
            <w:tcW w:w="719" w:type="dxa"/>
            <w:tcBorders>
              <w:left w:val="single" w:sz="4" w:space="0" w:color="000000"/>
              <w:bottom w:val="single" w:sz="4" w:space="0" w:color="000000"/>
            </w:tcBorders>
          </w:tcPr>
          <w:p>
            <w:pPr>
              <w:pStyle w:val="Contedodatabela"/>
              <w:widowControl w:val="false"/>
              <w:snapToGrid w:val="false"/>
              <w:jc w:val="center"/>
              <w:rPr>
                <w:sz w:val="21"/>
                <w:szCs w:val="21"/>
              </w:rPr>
            </w:pPr>
            <w:r>
              <w:rPr>
                <w:sz w:val="21"/>
                <w:szCs w:val="21"/>
              </w:rPr>
            </w:r>
          </w:p>
          <w:p>
            <w:pPr>
              <w:pStyle w:val="Contedodatabela"/>
              <w:widowControl w:val="false"/>
              <w:snapToGrid w:val="false"/>
              <w:jc w:val="center"/>
              <w:rPr>
                <w:sz w:val="21"/>
                <w:szCs w:val="21"/>
              </w:rPr>
            </w:pPr>
            <w:r>
              <w:rPr>
                <w:sz w:val="21"/>
                <w:szCs w:val="21"/>
              </w:rPr>
            </w:r>
          </w:p>
          <w:p>
            <w:pPr>
              <w:pStyle w:val="Contedodatabela"/>
              <w:widowControl w:val="false"/>
              <w:snapToGrid w:val="false"/>
              <w:jc w:val="center"/>
              <w:rPr>
                <w:sz w:val="21"/>
                <w:szCs w:val="21"/>
              </w:rPr>
            </w:pPr>
            <w:r>
              <w:rPr>
                <w:sz w:val="21"/>
                <w:szCs w:val="21"/>
              </w:rPr>
            </w:r>
          </w:p>
          <w:p>
            <w:pPr>
              <w:pStyle w:val="Contedodatabela"/>
              <w:widowControl w:val="false"/>
              <w:snapToGrid w:val="false"/>
              <w:jc w:val="center"/>
              <w:rPr>
                <w:sz w:val="21"/>
                <w:szCs w:val="21"/>
              </w:rPr>
            </w:pPr>
            <w:r>
              <w:rPr>
                <w:sz w:val="21"/>
                <w:szCs w:val="21"/>
              </w:rPr>
              <w:t>Carga</w:t>
            </w:r>
          </w:p>
        </w:tc>
        <w:tc>
          <w:tcPr>
            <w:tcW w:w="3623" w:type="dxa"/>
            <w:tcBorders>
              <w:left w:val="single" w:sz="4" w:space="0" w:color="000000"/>
              <w:bottom w:val="single" w:sz="4" w:space="0" w:color="000000"/>
            </w:tcBorders>
          </w:tcPr>
          <w:p>
            <w:pPr>
              <w:pStyle w:val="Contedodatabela"/>
              <w:widowControl w:val="false"/>
              <w:snapToGrid w:val="false"/>
              <w:jc w:val="both"/>
              <w:rPr>
                <w:sz w:val="21"/>
                <w:szCs w:val="21"/>
              </w:rPr>
            </w:pPr>
            <w:r>
              <w:rPr>
                <w:sz w:val="21"/>
                <w:szCs w:val="21"/>
              </w:rPr>
            </w:r>
          </w:p>
          <w:p>
            <w:pPr>
              <w:pStyle w:val="Contedodatabela"/>
              <w:widowControl w:val="false"/>
              <w:jc w:val="both"/>
              <w:rPr>
                <w:sz w:val="21"/>
                <w:szCs w:val="21"/>
              </w:rPr>
            </w:pPr>
            <w:r>
              <w:rPr>
                <w:sz w:val="21"/>
                <w:szCs w:val="21"/>
              </w:rPr>
            </w:r>
          </w:p>
          <w:p>
            <w:pPr>
              <w:pStyle w:val="Contedodatabela"/>
              <w:widowControl w:val="false"/>
              <w:jc w:val="both"/>
              <w:rPr>
                <w:sz w:val="21"/>
                <w:szCs w:val="21"/>
              </w:rPr>
            </w:pPr>
            <w:r>
              <w:rPr>
                <w:sz w:val="21"/>
                <w:szCs w:val="21"/>
              </w:rPr>
            </w:r>
          </w:p>
          <w:p>
            <w:pPr>
              <w:pStyle w:val="Contedodatabela"/>
              <w:widowControl w:val="false"/>
              <w:jc w:val="both"/>
              <w:rPr>
                <w:sz w:val="21"/>
                <w:szCs w:val="21"/>
              </w:rPr>
            </w:pPr>
            <w:r>
              <w:rPr>
                <w:sz w:val="21"/>
                <w:szCs w:val="21"/>
              </w:rPr>
              <w:t>Gás de cozinha de 13kg (carga)</w:t>
            </w:r>
          </w:p>
        </w:tc>
        <w:tc>
          <w:tcPr>
            <w:tcW w:w="2717" w:type="dxa"/>
            <w:tcBorders>
              <w:left w:val="single" w:sz="4" w:space="0" w:color="000000"/>
              <w:bottom w:val="single" w:sz="4" w:space="0" w:color="000000"/>
              <w:right w:val="single" w:sz="4" w:space="0" w:color="000000"/>
            </w:tcBorders>
            <w:vAlign w:val="center"/>
          </w:tcPr>
          <w:p>
            <w:pPr>
              <w:pStyle w:val="Contedodatabela"/>
              <w:widowControl w:val="false"/>
              <w:spacing w:lineRule="auto" w:line="276"/>
              <w:jc w:val="right"/>
              <w:rPr>
                <w:rFonts w:ascii="Arial" w:hAnsi="Arial" w:cs="Arial"/>
                <w:sz w:val="20"/>
                <w:szCs w:val="20"/>
              </w:rPr>
            </w:pPr>
            <w:r>
              <w:rPr>
                <w:rFonts w:cs="Arial"/>
                <w:sz w:val="20"/>
                <w:szCs w:val="20"/>
              </w:rPr>
              <w:t xml:space="preserve">Social – </w:t>
            </w:r>
            <w:r>
              <w:rPr>
                <w:rFonts w:cs="Arial"/>
                <w:b/>
                <w:bCs/>
                <w:sz w:val="20"/>
                <w:szCs w:val="20"/>
              </w:rPr>
              <w:t>0</w:t>
            </w:r>
            <w:r>
              <w:rPr>
                <w:rFonts w:cs="Arial"/>
                <w:b/>
                <w:bCs/>
                <w:sz w:val="20"/>
                <w:szCs w:val="20"/>
                <w:lang w:val="pt-BR"/>
              </w:rPr>
              <w:t>4</w:t>
            </w:r>
          </w:p>
          <w:p>
            <w:pPr>
              <w:pStyle w:val="Contedodatabela"/>
              <w:widowControl w:val="false"/>
              <w:spacing w:lineRule="auto" w:line="276"/>
              <w:jc w:val="right"/>
              <w:rPr>
                <w:rFonts w:ascii="Arial" w:hAnsi="Arial" w:cs="Arial"/>
                <w:b/>
                <w:b/>
                <w:bCs/>
                <w:sz w:val="20"/>
                <w:szCs w:val="20"/>
              </w:rPr>
            </w:pPr>
            <w:r>
              <w:rPr>
                <w:rFonts w:cs="Arial"/>
                <w:sz w:val="20"/>
                <w:szCs w:val="20"/>
              </w:rPr>
              <w:t>CRAS –</w:t>
            </w:r>
            <w:r>
              <w:rPr>
                <w:rFonts w:cs="Arial"/>
                <w:b/>
                <w:bCs/>
                <w:sz w:val="20"/>
                <w:szCs w:val="20"/>
              </w:rPr>
              <w:t xml:space="preserve"> 1</w:t>
            </w:r>
            <w:r>
              <w:rPr>
                <w:rFonts w:cs="Arial"/>
                <w:b/>
                <w:bCs/>
                <w:sz w:val="20"/>
                <w:szCs w:val="20"/>
                <w:lang w:val="pt-BR"/>
              </w:rPr>
              <w:t>3</w:t>
            </w:r>
          </w:p>
          <w:p>
            <w:pPr>
              <w:pStyle w:val="Contedodatabela"/>
              <w:widowControl w:val="false"/>
              <w:spacing w:lineRule="auto" w:line="276"/>
              <w:jc w:val="right"/>
              <w:rPr>
                <w:rFonts w:ascii="Arial" w:hAnsi="Arial" w:cs="Arial"/>
                <w:sz w:val="20"/>
                <w:szCs w:val="20"/>
              </w:rPr>
            </w:pPr>
            <w:r>
              <w:rPr>
                <w:rFonts w:cs="Arial"/>
                <w:sz w:val="20"/>
                <w:szCs w:val="20"/>
              </w:rPr>
              <w:t xml:space="preserve">Cons. tutelar – </w:t>
            </w:r>
            <w:r>
              <w:rPr>
                <w:rFonts w:cs="Arial"/>
                <w:b/>
                <w:bCs/>
                <w:sz w:val="20"/>
                <w:szCs w:val="20"/>
              </w:rPr>
              <w:t>0</w:t>
            </w:r>
            <w:r>
              <w:rPr>
                <w:rFonts w:cs="Arial"/>
                <w:b/>
                <w:bCs/>
                <w:sz w:val="20"/>
                <w:szCs w:val="20"/>
                <w:lang w:val="pt-BR"/>
              </w:rPr>
              <w:t>7</w:t>
            </w:r>
          </w:p>
          <w:p>
            <w:pPr>
              <w:pStyle w:val="Contedodatabela"/>
              <w:widowControl w:val="false"/>
              <w:spacing w:lineRule="auto" w:line="276"/>
              <w:jc w:val="right"/>
              <w:rPr>
                <w:rFonts w:ascii="Arial" w:hAnsi="Arial" w:cs="Arial"/>
                <w:sz w:val="20"/>
                <w:szCs w:val="20"/>
              </w:rPr>
            </w:pPr>
            <w:r>
              <w:rPr>
                <w:rFonts w:cs="Arial"/>
                <w:sz w:val="20"/>
                <w:szCs w:val="20"/>
              </w:rPr>
              <w:t xml:space="preserve">Administração - </w:t>
            </w:r>
            <w:r>
              <w:rPr>
                <w:rFonts w:cs="Arial"/>
                <w:b/>
                <w:bCs/>
                <w:sz w:val="20"/>
                <w:szCs w:val="20"/>
              </w:rPr>
              <w:t>1</w:t>
            </w:r>
            <w:r>
              <w:rPr>
                <w:rFonts w:cs="Arial"/>
                <w:b/>
                <w:bCs/>
                <w:sz w:val="20"/>
                <w:szCs w:val="20"/>
                <w:lang w:val="pt-BR"/>
              </w:rPr>
              <w:t>6</w:t>
            </w:r>
          </w:p>
          <w:p>
            <w:pPr>
              <w:pStyle w:val="Contedodatabela"/>
              <w:widowControl w:val="false"/>
              <w:spacing w:lineRule="auto" w:line="276"/>
              <w:jc w:val="right"/>
              <w:rPr>
                <w:rFonts w:ascii="Arial" w:hAnsi="Arial" w:cs="Arial"/>
                <w:sz w:val="20"/>
                <w:szCs w:val="20"/>
              </w:rPr>
            </w:pPr>
            <w:r>
              <w:rPr>
                <w:rFonts w:cs="Arial"/>
                <w:sz w:val="20"/>
                <w:szCs w:val="20"/>
              </w:rPr>
              <w:t xml:space="preserve">Saúde – </w:t>
            </w:r>
            <w:r>
              <w:rPr>
                <w:rFonts w:cs="Arial"/>
                <w:b/>
                <w:bCs/>
                <w:sz w:val="20"/>
                <w:szCs w:val="20"/>
              </w:rPr>
              <w:t>1</w:t>
            </w:r>
            <w:r>
              <w:rPr>
                <w:rFonts w:cs="Arial"/>
                <w:b/>
                <w:bCs/>
                <w:sz w:val="20"/>
                <w:szCs w:val="20"/>
                <w:lang w:val="pt-BR"/>
              </w:rPr>
              <w:t>2</w:t>
            </w:r>
          </w:p>
          <w:p>
            <w:pPr>
              <w:pStyle w:val="Contedodatabela"/>
              <w:widowControl w:val="false"/>
              <w:spacing w:lineRule="auto" w:line="276"/>
              <w:jc w:val="right"/>
              <w:rPr/>
            </w:pPr>
            <w:r>
              <w:rPr>
                <w:rFonts w:cs="Arial"/>
                <w:sz w:val="20"/>
                <w:szCs w:val="20"/>
              </w:rPr>
              <w:t>Infraes</w:t>
            </w:r>
            <w:r>
              <w:rPr>
                <w:rFonts w:cs="Arial"/>
                <w:sz w:val="20"/>
                <w:szCs w:val="20"/>
                <w:lang w:val="pt-BR"/>
              </w:rPr>
              <w:t xml:space="preserve">trutura - </w:t>
            </w:r>
            <w:r>
              <w:rPr>
                <w:rFonts w:cs="Arial"/>
                <w:b/>
                <w:bCs/>
                <w:sz w:val="20"/>
                <w:szCs w:val="20"/>
                <w:lang w:val="pt-BR"/>
              </w:rPr>
              <w:t>10</w:t>
            </w:r>
          </w:p>
          <w:p>
            <w:pPr>
              <w:pStyle w:val="Contedodatabela"/>
              <w:widowControl w:val="false"/>
              <w:spacing w:lineRule="auto" w:line="276"/>
              <w:jc w:val="right"/>
              <w:rPr>
                <w:rFonts w:ascii="Arial" w:hAnsi="Arial" w:cs="Arial"/>
                <w:b/>
                <w:b/>
                <w:bCs/>
                <w:sz w:val="20"/>
                <w:szCs w:val="20"/>
              </w:rPr>
            </w:pPr>
            <w:r>
              <w:rPr>
                <w:rFonts w:cs="Arial"/>
                <w:sz w:val="20"/>
                <w:szCs w:val="20"/>
              </w:rPr>
              <w:t xml:space="preserve">Urbanismo – </w:t>
            </w:r>
            <w:r>
              <w:rPr>
                <w:rFonts w:cs="Arial"/>
                <w:b/>
                <w:bCs/>
                <w:sz w:val="20"/>
                <w:szCs w:val="20"/>
                <w:lang w:val="pt-BR"/>
              </w:rPr>
              <w:t>06</w:t>
            </w:r>
          </w:p>
          <w:p>
            <w:pPr>
              <w:pStyle w:val="Normal"/>
              <w:widowControl w:val="false"/>
              <w:jc w:val="right"/>
              <w:rPr/>
            </w:pPr>
            <w:r>
              <w:rPr>
                <w:rFonts w:cs="Arial" w:ascii="Arial" w:hAnsi="Arial"/>
                <w:sz w:val="20"/>
                <w:szCs w:val="20"/>
              </w:rPr>
              <w:t xml:space="preserve">Educação – </w:t>
            </w:r>
            <w:r>
              <w:rPr>
                <w:rFonts w:cs="Arial" w:ascii="Arial" w:hAnsi="Arial"/>
                <w:b/>
                <w:bCs/>
                <w:sz w:val="20"/>
                <w:szCs w:val="20"/>
              </w:rPr>
              <w:t>1</w:t>
            </w:r>
            <w:r>
              <w:rPr>
                <w:rFonts w:cs="Arial" w:ascii="Arial" w:hAnsi="Arial"/>
                <w:b/>
                <w:bCs/>
                <w:sz w:val="20"/>
                <w:szCs w:val="20"/>
                <w:lang w:val="pt-BR"/>
              </w:rPr>
              <w:t>6</w:t>
            </w:r>
            <w:r>
              <w:rPr>
                <w:rFonts w:cs="Arial" w:ascii="Arial" w:hAnsi="Arial"/>
                <w:b/>
                <w:bCs/>
                <w:sz w:val="20"/>
                <w:szCs w:val="20"/>
              </w:rPr>
              <w:t xml:space="preserve"> </w:t>
            </w:r>
            <w:r>
              <w:rPr>
                <w:rFonts w:cs="Arial" w:ascii="Arial" w:hAnsi="Arial"/>
                <w:b/>
                <w:bCs/>
                <w:i/>
                <w:iCs/>
                <w:sz w:val="18"/>
                <w:szCs w:val="18"/>
              </w:rPr>
              <w:t>(fundamental - 1</w:t>
            </w:r>
            <w:r>
              <w:rPr>
                <w:rFonts w:cs="Arial" w:ascii="Arial" w:hAnsi="Arial"/>
                <w:b/>
                <w:bCs/>
                <w:i/>
                <w:iCs/>
                <w:sz w:val="18"/>
                <w:szCs w:val="18"/>
                <w:lang w:val="pt-BR"/>
              </w:rPr>
              <w:t>2</w:t>
            </w:r>
            <w:r>
              <w:rPr>
                <w:rFonts w:cs="Arial" w:ascii="Arial" w:hAnsi="Arial"/>
                <w:b/>
                <w:bCs/>
                <w:i/>
                <w:iCs/>
                <w:sz w:val="18"/>
                <w:szCs w:val="18"/>
              </w:rPr>
              <w:t>)</w:t>
            </w:r>
          </w:p>
          <w:p>
            <w:pPr>
              <w:pStyle w:val="Normal"/>
              <w:widowControl w:val="false"/>
              <w:jc w:val="right"/>
              <w:rPr/>
            </w:pPr>
            <w:r>
              <w:rPr>
                <w:rFonts w:cs="Arial" w:ascii="Arial" w:hAnsi="Arial"/>
                <w:b/>
                <w:bCs/>
                <w:i/>
                <w:iCs/>
                <w:sz w:val="18"/>
                <w:szCs w:val="18"/>
                <w:lang w:val="pt-BR"/>
              </w:rPr>
              <w:t>(</w:t>
            </w:r>
            <w:r>
              <w:rPr>
                <w:rFonts w:cs="Arial" w:ascii="Arial" w:hAnsi="Arial"/>
                <w:b/>
                <w:bCs/>
                <w:i/>
                <w:iCs/>
                <w:sz w:val="18"/>
                <w:szCs w:val="18"/>
              </w:rPr>
              <w:t>Educação - 0</w:t>
            </w:r>
            <w:r>
              <w:rPr>
                <w:rFonts w:cs="Arial" w:ascii="Arial" w:hAnsi="Arial"/>
                <w:b/>
                <w:bCs/>
                <w:i/>
                <w:iCs/>
                <w:sz w:val="18"/>
                <w:szCs w:val="18"/>
                <w:lang w:val="pt-BR"/>
              </w:rPr>
              <w:t>4</w:t>
            </w:r>
            <w:r>
              <w:rPr>
                <w:rFonts w:cs="Arial" w:ascii="Arial" w:hAnsi="Arial"/>
                <w:b/>
                <w:bCs/>
                <w:i/>
                <w:iCs/>
                <w:sz w:val="18"/>
                <w:szCs w:val="18"/>
              </w:rPr>
              <w:t>)</w:t>
            </w:r>
          </w:p>
          <w:p>
            <w:pPr>
              <w:pStyle w:val="Normal"/>
              <w:widowControl w:val="false"/>
              <w:jc w:val="right"/>
              <w:rPr/>
            </w:pPr>
            <w:r>
              <w:rPr>
                <w:rFonts w:cs="Arial" w:ascii="Arial" w:hAnsi="Arial"/>
                <w:b w:val="false"/>
                <w:bCs w:val="false"/>
                <w:sz w:val="20"/>
                <w:szCs w:val="20"/>
                <w:lang w:val="pt-BR"/>
              </w:rPr>
              <w:t>Deleg</w:t>
            </w:r>
            <w:r>
              <w:rPr>
                <w:rFonts w:cs="Arial"/>
                <w:b w:val="false"/>
                <w:bCs w:val="false"/>
                <w:sz w:val="20"/>
                <w:szCs w:val="20"/>
                <w:lang w:val="pt-BR"/>
              </w:rPr>
              <w:t>a</w:t>
            </w:r>
            <w:r>
              <w:rPr>
                <w:rFonts w:cs="Arial" w:ascii="Arial" w:hAnsi="Arial"/>
                <w:b w:val="false"/>
                <w:bCs w:val="false"/>
                <w:sz w:val="20"/>
                <w:szCs w:val="20"/>
                <w:lang w:val="pt-BR"/>
              </w:rPr>
              <w:t>cia</w:t>
            </w:r>
            <w:r>
              <w:rPr>
                <w:rFonts w:cs="Arial" w:ascii="Arial" w:hAnsi="Arial"/>
                <w:b/>
                <w:bCs/>
                <w:sz w:val="20"/>
                <w:szCs w:val="20"/>
                <w:lang w:val="pt-BR"/>
              </w:rPr>
              <w:t xml:space="preserve"> - 03</w:t>
            </w:r>
          </w:p>
          <w:p>
            <w:pPr>
              <w:pStyle w:val="Normal"/>
              <w:widowControl w:val="false"/>
              <w:spacing w:before="0" w:after="160"/>
              <w:jc w:val="right"/>
              <w:rPr/>
            </w:pPr>
            <w:r>
              <w:rPr>
                <w:rFonts w:cs="Arial" w:ascii="Arial" w:hAnsi="Arial"/>
                <w:b w:val="false"/>
                <w:bCs w:val="false"/>
                <w:sz w:val="20"/>
                <w:szCs w:val="20"/>
                <w:lang w:val="pt-BR"/>
              </w:rPr>
              <w:t>DME</w:t>
            </w:r>
            <w:r>
              <w:rPr>
                <w:rFonts w:cs="Arial" w:ascii="Arial" w:hAnsi="Arial"/>
                <w:b/>
                <w:bCs/>
                <w:sz w:val="20"/>
                <w:szCs w:val="20"/>
                <w:lang w:val="pt-BR"/>
              </w:rPr>
              <w:t xml:space="preserve"> - 06</w:t>
            </w:r>
          </w:p>
        </w:tc>
      </w:tr>
      <w:tr>
        <w:trPr/>
        <w:tc>
          <w:tcPr>
            <w:tcW w:w="651" w:type="dxa"/>
            <w:vMerge w:val="continue"/>
            <w:tcBorders>
              <w:left w:val="single" w:sz="4" w:space="0" w:color="000000"/>
            </w:tcBorders>
          </w:tcPr>
          <w:p>
            <w:pPr>
              <w:pStyle w:val="Contedodatabela"/>
              <w:widowControl w:val="false"/>
              <w:snapToGrid w:val="false"/>
              <w:jc w:val="center"/>
              <w:rPr>
                <w:rFonts w:ascii="Arial" w:hAnsi="Arial" w:eastAsia="Arial" w:cs="Arial"/>
                <w:b/>
                <w:b/>
                <w:bCs/>
                <w:sz w:val="21"/>
                <w:szCs w:val="21"/>
                <w:lang w:val="pt-BR" w:eastAsia="zh-CN" w:bidi="hi-IN"/>
              </w:rPr>
            </w:pPr>
            <w:r>
              <w:rPr>
                <w:rFonts w:eastAsia="Arial" w:cs="Arial"/>
                <w:b/>
                <w:bCs/>
                <w:sz w:val="21"/>
                <w:szCs w:val="21"/>
                <w:lang w:val="pt-BR" w:eastAsia="zh-CN" w:bidi="hi-IN"/>
              </w:rPr>
            </w:r>
          </w:p>
        </w:tc>
        <w:tc>
          <w:tcPr>
            <w:tcW w:w="651" w:type="dxa"/>
            <w:tcBorders>
              <w:left w:val="single" w:sz="4" w:space="0" w:color="000000"/>
              <w:bottom w:val="single" w:sz="4" w:space="0" w:color="000000"/>
            </w:tcBorders>
          </w:tcPr>
          <w:p>
            <w:pPr>
              <w:pStyle w:val="Contedodatabela"/>
              <w:widowControl w:val="false"/>
              <w:jc w:val="center"/>
              <w:rPr>
                <w:b/>
                <w:b/>
                <w:bCs/>
                <w:sz w:val="21"/>
                <w:szCs w:val="21"/>
              </w:rPr>
            </w:pPr>
            <w:r>
              <w:rPr>
                <w:b/>
                <w:bCs/>
                <w:sz w:val="21"/>
                <w:szCs w:val="21"/>
              </w:rPr>
              <w:t>02</w:t>
            </w:r>
          </w:p>
        </w:tc>
        <w:tc>
          <w:tcPr>
            <w:tcW w:w="763" w:type="dxa"/>
            <w:tcBorders>
              <w:left w:val="single" w:sz="4" w:space="0" w:color="000000"/>
              <w:bottom w:val="single" w:sz="4" w:space="0" w:color="000000"/>
            </w:tcBorders>
          </w:tcPr>
          <w:p>
            <w:pPr>
              <w:pStyle w:val="Contedodatabela"/>
              <w:widowControl w:val="false"/>
              <w:snapToGrid w:val="false"/>
              <w:jc w:val="center"/>
              <w:rPr/>
            </w:pPr>
            <w:r>
              <w:rPr>
                <w:sz w:val="21"/>
                <w:szCs w:val="21"/>
                <w:lang w:val="pt-BR"/>
              </w:rPr>
              <w:t>4</w:t>
            </w:r>
            <w:r>
              <w:rPr>
                <w:sz w:val="21"/>
                <w:szCs w:val="21"/>
              </w:rPr>
              <w:t>0</w:t>
            </w:r>
          </w:p>
        </w:tc>
        <w:tc>
          <w:tcPr>
            <w:tcW w:w="719" w:type="dxa"/>
            <w:tcBorders>
              <w:left w:val="single" w:sz="4" w:space="0" w:color="000000"/>
              <w:bottom w:val="single" w:sz="4" w:space="0" w:color="000000"/>
            </w:tcBorders>
          </w:tcPr>
          <w:p>
            <w:pPr>
              <w:pStyle w:val="Contedodatabela"/>
              <w:widowControl w:val="false"/>
              <w:snapToGrid w:val="false"/>
              <w:jc w:val="center"/>
              <w:rPr>
                <w:sz w:val="21"/>
                <w:szCs w:val="21"/>
              </w:rPr>
            </w:pPr>
            <w:r>
              <w:rPr>
                <w:sz w:val="21"/>
                <w:szCs w:val="21"/>
              </w:rPr>
              <w:t>Carga</w:t>
            </w:r>
          </w:p>
        </w:tc>
        <w:tc>
          <w:tcPr>
            <w:tcW w:w="3623" w:type="dxa"/>
            <w:tcBorders>
              <w:left w:val="single" w:sz="4" w:space="0" w:color="000000"/>
              <w:bottom w:val="single" w:sz="4" w:space="0" w:color="000000"/>
            </w:tcBorders>
          </w:tcPr>
          <w:p>
            <w:pPr>
              <w:pStyle w:val="Contedodatabela"/>
              <w:widowControl w:val="false"/>
              <w:jc w:val="both"/>
              <w:rPr>
                <w:sz w:val="21"/>
                <w:szCs w:val="21"/>
              </w:rPr>
            </w:pPr>
            <w:r>
              <w:rPr>
                <w:sz w:val="21"/>
                <w:szCs w:val="21"/>
              </w:rPr>
              <w:t>Gás de cozinha de 45kg (carga)</w:t>
            </w:r>
          </w:p>
          <w:p>
            <w:pPr>
              <w:pStyle w:val="Contedodatabela"/>
              <w:widowControl w:val="false"/>
              <w:jc w:val="both"/>
              <w:rPr>
                <w:sz w:val="21"/>
                <w:szCs w:val="21"/>
              </w:rPr>
            </w:pPr>
            <w:r>
              <w:rPr>
                <w:sz w:val="21"/>
                <w:szCs w:val="21"/>
              </w:rPr>
            </w:r>
          </w:p>
        </w:tc>
        <w:tc>
          <w:tcPr>
            <w:tcW w:w="2717" w:type="dxa"/>
            <w:tcBorders>
              <w:left w:val="single" w:sz="4" w:space="0" w:color="000000"/>
              <w:bottom w:val="single" w:sz="4" w:space="0" w:color="000000"/>
              <w:right w:val="single" w:sz="4" w:space="0" w:color="000000"/>
            </w:tcBorders>
            <w:vAlign w:val="center"/>
          </w:tcPr>
          <w:p>
            <w:pPr>
              <w:pStyle w:val="Contedodatabela"/>
              <w:widowControl w:val="false"/>
              <w:snapToGrid w:val="false"/>
              <w:spacing w:lineRule="auto" w:line="276"/>
              <w:jc w:val="right"/>
              <w:rPr>
                <w:rFonts w:ascii="Arial" w:hAnsi="Arial" w:cs="Arial"/>
                <w:sz w:val="20"/>
                <w:szCs w:val="20"/>
              </w:rPr>
            </w:pPr>
            <w:r>
              <w:rPr>
                <w:rFonts w:cs="Arial"/>
                <w:sz w:val="20"/>
                <w:szCs w:val="20"/>
              </w:rPr>
              <w:t xml:space="preserve">Fundamental - </w:t>
            </w:r>
            <w:r>
              <w:rPr>
                <w:rFonts w:cs="Arial"/>
                <w:b/>
                <w:bCs/>
                <w:sz w:val="20"/>
                <w:szCs w:val="20"/>
                <w:lang w:val="pt-BR"/>
              </w:rPr>
              <w:t>20</w:t>
            </w:r>
          </w:p>
          <w:p>
            <w:pPr>
              <w:pStyle w:val="Contedodatabela"/>
              <w:widowControl w:val="false"/>
              <w:snapToGrid w:val="false"/>
              <w:spacing w:lineRule="auto" w:line="276"/>
              <w:jc w:val="right"/>
              <w:rPr>
                <w:rFonts w:ascii="Arial" w:hAnsi="Arial" w:cs="Arial"/>
                <w:sz w:val="20"/>
                <w:szCs w:val="20"/>
              </w:rPr>
            </w:pPr>
            <w:r>
              <w:rPr>
                <w:rFonts w:cs="Arial"/>
                <w:sz w:val="20"/>
                <w:szCs w:val="20"/>
              </w:rPr>
              <w:t xml:space="preserve">Infantil - </w:t>
            </w:r>
            <w:r>
              <w:rPr>
                <w:rFonts w:cs="Arial"/>
                <w:b/>
                <w:bCs/>
                <w:sz w:val="20"/>
                <w:szCs w:val="20"/>
              </w:rPr>
              <w:t>0</w:t>
            </w:r>
            <w:r>
              <w:rPr>
                <w:rFonts w:cs="Arial"/>
                <w:b/>
                <w:bCs/>
                <w:sz w:val="20"/>
                <w:szCs w:val="20"/>
                <w:lang w:val="pt-BR"/>
              </w:rPr>
              <w:t>9</w:t>
            </w:r>
          </w:p>
          <w:p>
            <w:pPr>
              <w:pStyle w:val="Normal"/>
              <w:widowControl w:val="false"/>
              <w:spacing w:before="0" w:after="160"/>
              <w:jc w:val="right"/>
              <w:rPr/>
            </w:pPr>
            <w:r>
              <w:rPr>
                <w:rFonts w:cs="Arial" w:ascii="Arial" w:hAnsi="Arial"/>
                <w:sz w:val="20"/>
                <w:szCs w:val="20"/>
              </w:rPr>
              <w:t>Creche -</w:t>
            </w:r>
            <w:r>
              <w:rPr>
                <w:rFonts w:cs="Arial" w:ascii="Arial" w:hAnsi="Arial"/>
                <w:b/>
                <w:bCs/>
                <w:sz w:val="20"/>
                <w:szCs w:val="20"/>
              </w:rPr>
              <w:t xml:space="preserve"> </w:t>
            </w:r>
            <w:r>
              <w:rPr>
                <w:rFonts w:cs="Arial" w:ascii="Arial" w:hAnsi="Arial"/>
                <w:b/>
                <w:bCs/>
                <w:sz w:val="20"/>
                <w:szCs w:val="20"/>
                <w:lang w:val="pt-BR"/>
              </w:rPr>
              <w:t>11</w:t>
            </w:r>
          </w:p>
        </w:tc>
      </w:tr>
    </w:tbl>
    <w:p>
      <w:pPr>
        <w:pStyle w:val="Normal"/>
        <w:tabs>
          <w:tab w:val="clear" w:pos="708"/>
          <w:tab w:val="left" w:pos="2340" w:leader="none"/>
          <w:tab w:val="left" w:pos="4464" w:leader="none"/>
        </w:tabs>
        <w:spacing w:lineRule="auto" w:line="240"/>
        <w:jc w:val="both"/>
        <w:rPr>
          <w:bCs/>
          <w:sz w:val="18"/>
          <w:szCs w:val="18"/>
        </w:rPr>
      </w:pPr>
      <w:r>
        <w:rPr>
          <w:bCs/>
          <w:sz w:val="18"/>
          <w:szCs w:val="18"/>
        </w:rPr>
        <w:t>* Tratando-se de Sistema de Registro de Preços, os quantitativos acima discriminados não obrigam a contratação pela administração pública, nos termos do art. 83 da Lei Federal n. 14.133/2021.</w:t>
      </w:r>
    </w:p>
    <w:p>
      <w:pPr>
        <w:pStyle w:val="Normal"/>
        <w:tabs>
          <w:tab w:val="clear" w:pos="708"/>
          <w:tab w:val="left" w:pos="2340" w:leader="none"/>
          <w:tab w:val="left" w:pos="4464" w:leader="none"/>
        </w:tabs>
        <w:spacing w:lineRule="auto" w:line="240"/>
        <w:jc w:val="both"/>
        <w:rPr>
          <w:bCs/>
          <w:sz w:val="18"/>
          <w:szCs w:val="18"/>
        </w:rPr>
      </w:pPr>
      <w:r>
        <w:rPr>
          <w:bCs/>
          <w:sz w:val="18"/>
          <w:szCs w:val="18"/>
        </w:rPr>
      </w:r>
    </w:p>
    <w:p>
      <w:pPr>
        <w:pStyle w:val="NormalWeb"/>
        <w:keepNext w:val="false"/>
        <w:keepLines w:val="false"/>
        <w:widowControl/>
        <w:spacing w:lineRule="auto" w:line="360" w:before="280" w:after="280"/>
        <w:ind w:firstLine="720"/>
        <w:jc w:val="both"/>
        <w:rPr>
          <w:rFonts w:ascii="Arial" w:hAnsi="Arial" w:cs="Arial"/>
          <w:sz w:val="21"/>
          <w:szCs w:val="21"/>
        </w:rPr>
      </w:pPr>
      <w:r>
        <w:rPr>
          <w:rFonts w:cs="Arial" w:ascii="Arial" w:hAnsi="Arial"/>
          <w:sz w:val="21"/>
          <w:szCs w:val="21"/>
        </w:rPr>
        <w:t>Durante o andamento do processo de licitação, verificou-se a necessidade de ajustar os quantitativos inicialmente previstos. Essa alteração ocorreu devido à inclusão de novos departamentos que, posteriormente, foram identificados como necessitando da aquisição de Gás Liquefeito de Petróleo (GLP). Dessa forma, o aumento nos quantitativos visa atender adequadamente a demanda desses setores adicionais.</w:t>
      </w:r>
    </w:p>
    <w:p>
      <w:pPr>
        <w:pStyle w:val="NormalWeb"/>
        <w:keepNext w:val="false"/>
        <w:keepLines w:val="false"/>
        <w:widowControl/>
        <w:spacing w:lineRule="auto" w:line="360" w:before="280" w:after="280"/>
        <w:ind w:firstLine="720"/>
        <w:jc w:val="both"/>
        <w:rPr>
          <w:rFonts w:ascii="Arial" w:hAnsi="Arial" w:cs="Arial"/>
          <w:sz w:val="21"/>
          <w:szCs w:val="21"/>
        </w:rPr>
      </w:pPr>
      <w:r>
        <w:rPr>
          <w:rFonts w:cs="Arial" w:ascii="Arial" w:hAnsi="Arial"/>
          <w:sz w:val="21"/>
          <w:szCs w:val="21"/>
        </w:rPr>
        <w:t>É importante ressaltar que, apesar da alteração nos quantitativos, o valor unitário do GLP permaneceu inalterado, mantendo-se conforme o estipulado na fase inicial do processo licitatório. A alteração nos quantitativos foi feita exclusivamente para garantir que todos os setores demandantes sejam atendidos de maneira adequada, sem impacto no custo unitário previamente estabelecido.</w:t>
      </w:r>
    </w:p>
    <w:p>
      <w:pPr>
        <w:pStyle w:val="ListParagraph"/>
        <w:numPr>
          <w:ilvl w:val="1"/>
          <w:numId w:val="1"/>
        </w:numPr>
        <w:tabs>
          <w:tab w:val="clear" w:pos="708"/>
          <w:tab w:val="left" w:pos="0" w:leader="none"/>
        </w:tabs>
        <w:spacing w:lineRule="auto" w:line="360" w:before="140" w:after="140"/>
        <w:contextualSpacing/>
        <w:rPr>
          <w:b/>
          <w:b/>
        </w:rPr>
      </w:pPr>
      <w:r>
        <w:rPr>
          <w:b/>
        </w:rPr>
        <w:t>PRAZO DE VIGÊNCIA DA ATA DE REGISTRO DE PREÇOS</w:t>
      </w:r>
    </w:p>
    <w:p>
      <w:pPr>
        <w:pStyle w:val="Normal"/>
        <w:tabs>
          <w:tab w:val="clear" w:pos="708"/>
          <w:tab w:val="left" w:pos="2340" w:leader="none"/>
          <w:tab w:val="left" w:pos="4464" w:leader="none"/>
        </w:tabs>
        <w:spacing w:lineRule="auto" w:line="360" w:before="140" w:after="140"/>
        <w:ind w:firstLine="709"/>
        <w:jc w:val="both"/>
        <w:rPr/>
      </w:pPr>
      <w:r>
        <w:rPr>
          <w:sz w:val="21"/>
          <w:szCs w:val="21"/>
        </w:rPr>
        <w:t xml:space="preserve">O prazo de vigência da ata de registro de preços será de 1 (um) ano e poderá ser prorrogado por igual período, desde que comprovado o preço vantajoso, nos termos do art. 84, </w:t>
      </w:r>
      <w:r>
        <w:rPr>
          <w:i/>
          <w:iCs/>
          <w:sz w:val="21"/>
          <w:szCs w:val="21"/>
        </w:rPr>
        <w:t>caput</w:t>
      </w:r>
      <w:r>
        <w:rPr>
          <w:sz w:val="21"/>
          <w:szCs w:val="21"/>
        </w:rPr>
        <w:t xml:space="preserve">, da Lei Federal n. 14.133/2021. </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Em caso de prorrogação da vigência da ata de registro de preços, as quantidades inicialmente registradas serão renovadas na sua totalidade, independentemente do quantitativo utilizado no período de vigência, não sendo possível cumular com as quantidades não utilizadas, conforme previsto no decreto regulamentador do município.</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ListParagraph"/>
        <w:numPr>
          <w:ilvl w:val="1"/>
          <w:numId w:val="1"/>
        </w:numPr>
        <w:tabs>
          <w:tab w:val="clear" w:pos="708"/>
          <w:tab w:val="left" w:pos="0" w:leader="none"/>
        </w:tabs>
        <w:spacing w:lineRule="auto" w:line="360" w:before="140" w:after="140"/>
        <w:contextualSpacing/>
        <w:rPr>
          <w:b/>
          <w:b/>
        </w:rPr>
      </w:pPr>
      <w:r>
        <w:rPr>
          <w:b/>
        </w:rPr>
        <w:t>ESPECIFICAÇÃO DOS PRODUTOS</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A especificação dos produtos requerida pelo art. 40, § 1º, inciso I, da Lei Federal n. 14.133/2021 está estabelecida nos descritivos dos itens e no presente Termo de Referência, observados requisitos de qualidade, rendimento e durabilidade.</w:t>
      </w:r>
    </w:p>
    <w:p>
      <w:pPr>
        <w:pStyle w:val="ListParagraph"/>
        <w:numPr>
          <w:ilvl w:val="1"/>
          <w:numId w:val="1"/>
        </w:numPr>
        <w:tabs>
          <w:tab w:val="clear" w:pos="708"/>
          <w:tab w:val="left" w:pos="0" w:leader="none"/>
        </w:tabs>
        <w:spacing w:lineRule="auto" w:line="360" w:before="140" w:after="140"/>
        <w:contextualSpacing/>
        <w:rPr>
          <w:b/>
          <w:b/>
        </w:rPr>
      </w:pPr>
      <w:r>
        <w:rPr>
          <w:b/>
        </w:rPr>
        <w:t>JUSTIFICATIVA DE NÃO REALIZAÇÃO DE IRP</w:t>
      </w:r>
    </w:p>
    <w:p>
      <w:pPr>
        <w:pStyle w:val="Normal"/>
        <w:widowControl w:val="false"/>
        <w:spacing w:lineRule="auto" w:line="360" w:before="140" w:after="140"/>
        <w:ind w:firstLine="709"/>
        <w:jc w:val="both"/>
        <w:rPr>
          <w:bCs/>
          <w:sz w:val="21"/>
          <w:szCs w:val="21"/>
        </w:rPr>
      </w:pPr>
      <w:r>
        <w:rPr>
          <w:bCs/>
          <w:sz w:val="21"/>
          <w:szCs w:val="21"/>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órgão gerenciador.</w:t>
      </w:r>
    </w:p>
    <w:p>
      <w:pPr>
        <w:pStyle w:val="Normal"/>
        <w:spacing w:lineRule="auto" w:line="360" w:before="142" w:after="142"/>
        <w:ind w:firstLine="709"/>
        <w:jc w:val="both"/>
        <w:rPr>
          <w:bCs/>
          <w:sz w:val="21"/>
          <w:szCs w:val="21"/>
        </w:rPr>
      </w:pPr>
      <w:r>
        <w:rPr>
          <w:bCs/>
          <w:sz w:val="21"/>
          <w:szCs w:val="21"/>
        </w:rPr>
        <w:t>Tratando-se de processo licitatório visando o registro de preço dos itens listados, a estimativa total de quantidades para a contratação foi definida através de levantamento de recarga de gás de cozinha existentes em cada setor do município. Dessa forma que se encontra plenamente confirmada pelos próprios órgãos a necessidade de contratação apresentada, cujos quantitativos encontram-se discriminados no item 3.4 deste presente Termo de Referência.</w:t>
      </w:r>
    </w:p>
    <w:p>
      <w:pPr>
        <w:pStyle w:val="Normal"/>
        <w:spacing w:lineRule="auto" w:line="360" w:before="142" w:after="142"/>
        <w:ind w:firstLine="709"/>
        <w:jc w:val="both"/>
        <w:rPr>
          <w:b/>
          <w:b/>
          <w:bCs/>
          <w:sz w:val="21"/>
          <w:szCs w:val="21"/>
        </w:rPr>
      </w:pPr>
      <w:r>
        <w:rPr>
          <w:b/>
          <w:bCs/>
          <w:sz w:val="21"/>
          <w:szCs w:val="21"/>
        </w:rPr>
      </w:r>
    </w:p>
    <w:p>
      <w:pPr>
        <w:pStyle w:val="ListParagraph"/>
        <w:numPr>
          <w:ilvl w:val="0"/>
          <w:numId w:val="1"/>
        </w:numPr>
        <w:tabs>
          <w:tab w:val="clear" w:pos="708"/>
          <w:tab w:val="left" w:pos="0" w:leader="none"/>
        </w:tabs>
        <w:spacing w:lineRule="auto" w:line="360" w:before="140" w:after="140"/>
        <w:contextualSpacing/>
        <w:rPr>
          <w:b/>
          <w:b/>
        </w:rPr>
      </w:pPr>
      <w:r>
        <w:rPr>
          <w:b/>
        </w:rPr>
        <w:t>DESCRIÇÃO DA SOLUÇÃO COMO UM TODO</w:t>
      </w:r>
    </w:p>
    <w:p>
      <w:pPr>
        <w:pStyle w:val="NormalWeb"/>
        <w:spacing w:lineRule="auto" w:line="360" w:before="280" w:after="280"/>
        <w:ind w:firstLine="709"/>
        <w:jc w:val="both"/>
        <w:rPr>
          <w:rFonts w:ascii="Arial" w:hAnsi="Arial" w:cs="Arial"/>
          <w:sz w:val="21"/>
          <w:szCs w:val="21"/>
        </w:rPr>
      </w:pPr>
      <w:r>
        <w:rPr>
          <w:rFonts w:cs="Arial" w:ascii="Arial" w:hAnsi="Arial"/>
          <w:sz w:val="21"/>
          <w:szCs w:val="21"/>
        </w:rPr>
        <w:t>A aquisição de Gás Liquefeito de Petróleo (GLP) será realizada por meio de Registro de Preços, com validade de 12 meses, permitindo à administração realizar as compras de acordo com suas necessidades. O fornecimento incluirá a entrega de botijões de 13 kg e 45 kg, que deverão estar em perfeitas condições de uso, lacrados e devidamente vedados, sendo abertos somente no momento da instalação. A entrega dos botijões será acompanhada por um representante da CONTRATANTE, que indicará o local adequado para a instalação, conforme as necessidades de cada órgão ou entidade contratante.</w:t>
      </w:r>
    </w:p>
    <w:p>
      <w:pPr>
        <w:pStyle w:val="NormalWeb"/>
        <w:spacing w:lineRule="auto" w:line="360" w:before="280" w:after="280"/>
        <w:ind w:firstLine="709"/>
        <w:jc w:val="both"/>
        <w:rPr>
          <w:rFonts w:ascii="Arial" w:hAnsi="Arial" w:cs="Arial"/>
          <w:sz w:val="21"/>
          <w:szCs w:val="21"/>
        </w:rPr>
      </w:pPr>
      <w:r>
        <w:rPr>
          <w:rFonts w:cs="Arial" w:ascii="Arial" w:hAnsi="Arial"/>
          <w:sz w:val="21"/>
          <w:szCs w:val="21"/>
        </w:rPr>
        <w:t>O fornecedor será responsável por garantir que todo o processo de fornecimento esteja em total conformidade com as normas e regulamentações vigentes da Agência Nacional de Gás Natural e Biocombustíveis (ANP), assegurando a qualidade e segurança do produto entregue. O fornecimento deverá ocorrer de maneira pontual e eficiente, conforme as demandas da CONTRATANTE, dentro do prazo estabelecido na Ata de Registro de Preços.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Conforme o Regulamento de Licitações de Contratos será adotada a modalidade de licitação denominada Pregão, na forma eletrônica, em portais de compras de acesso público na internet visando garantir, entre outros, o princípio da eficiência e competitividade. </w:t>
      </w:r>
    </w:p>
    <w:p>
      <w:pPr>
        <w:pStyle w:val="Normal"/>
        <w:tabs>
          <w:tab w:val="clear" w:pos="708"/>
          <w:tab w:val="left" w:pos="2340" w:leader="none"/>
          <w:tab w:val="left" w:pos="4464" w:leader="none"/>
        </w:tabs>
        <w:spacing w:lineRule="auto" w:line="360" w:before="140" w:after="140"/>
        <w:ind w:firstLine="709"/>
        <w:jc w:val="both"/>
        <w:rPr>
          <w:bCs/>
          <w:color w:val="0000FF"/>
          <w:sz w:val="21"/>
          <w:szCs w:val="21"/>
        </w:rPr>
      </w:pPr>
      <w:r>
        <w:rPr>
          <w:bCs/>
          <w:color w:val="0000FF"/>
          <w:sz w:val="21"/>
          <w:szCs w:val="21"/>
        </w:rPr>
        <w:t xml:space="preserve"> </w:t>
      </w:r>
    </w:p>
    <w:p>
      <w:pPr>
        <w:pStyle w:val="ListParagraph"/>
        <w:numPr>
          <w:ilvl w:val="0"/>
          <w:numId w:val="1"/>
        </w:numPr>
        <w:tabs>
          <w:tab w:val="clear" w:pos="708"/>
          <w:tab w:val="left" w:pos="0" w:leader="none"/>
          <w:tab w:val="left" w:pos="851" w:leader="none"/>
        </w:tabs>
        <w:spacing w:lineRule="auto" w:line="360" w:before="140" w:after="140"/>
        <w:contextualSpacing/>
        <w:jc w:val="both"/>
        <w:rPr>
          <w:b/>
          <w:b/>
        </w:rPr>
      </w:pPr>
      <w:r>
        <w:rPr>
          <w:b/>
        </w:rPr>
        <w:t>REQUISITOS DA CONTRATAÇÃO</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Conforme disposto no Estudo Técnico Preliminar, </w:t>
      </w:r>
      <w:bookmarkStart w:id="2" w:name="_Hlk1291611181"/>
      <w:bookmarkStart w:id="3" w:name="_Hlk1291608961"/>
      <w:r>
        <w:rPr>
          <w:bCs/>
          <w:sz w:val="21"/>
          <w:szCs w:val="21"/>
        </w:rPr>
        <w:t xml:space="preserve">poderão participar desta licitação todas e quaisquer empresas ou sociedades, regularmente estabelecidas no País – </w:t>
      </w:r>
      <w:bookmarkStart w:id="4" w:name="_Hlk1291563721"/>
      <w:r>
        <w:rPr>
          <w:bCs/>
          <w:sz w:val="21"/>
          <w:szCs w:val="21"/>
        </w:rPr>
        <w:t>inclusive consórcios de empresas, desde que atendidas as disposições do art. 15 da Lei Federal n. 14.133/2021, que sejam especializadas e credenciadas no objeto desta licitação e que satisfaçam todas as exigências, especificações e normas previstas nos documentos deste processo licitatório e nos regramentos e normativas existentes no Brasil sobre a área de fornecimento</w:t>
      </w:r>
      <w:bookmarkEnd w:id="4"/>
      <w:r>
        <w:rPr>
          <w:bCs/>
          <w:sz w:val="21"/>
          <w:szCs w:val="21"/>
        </w:rPr>
        <w:t>.</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 item </w:t>
      </w:r>
      <w:bookmarkStart w:id="5" w:name="_Hlk1321905011"/>
      <w:r>
        <w:rPr>
          <w:bCs/>
          <w:sz w:val="21"/>
          <w:szCs w:val="21"/>
        </w:rPr>
        <w:t>presentes nos autos deste processo licitatório e que também estarão anexas ao edital</w:t>
      </w:r>
      <w:bookmarkEnd w:id="5"/>
      <w:r>
        <w:rPr>
          <w:bCs/>
          <w:sz w:val="21"/>
          <w:szCs w:val="21"/>
        </w:rPr>
        <w:t>.</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É necessário manter as condições de habilitação exigidas na licitação e comprovar a regularidade fiscal e trabalhista junto ao Órgão Gerenciador.</w:t>
      </w:r>
    </w:p>
    <w:p>
      <w:pPr>
        <w:pStyle w:val="Normal"/>
        <w:tabs>
          <w:tab w:val="clear" w:pos="708"/>
          <w:tab w:val="left" w:pos="2340" w:leader="none"/>
          <w:tab w:val="left" w:pos="4464" w:leader="none"/>
        </w:tabs>
        <w:spacing w:lineRule="auto" w:line="360" w:before="140" w:after="140"/>
        <w:ind w:firstLine="709"/>
        <w:jc w:val="both"/>
        <w:rPr>
          <w:sz w:val="21"/>
          <w:szCs w:val="21"/>
        </w:rPr>
      </w:pPr>
      <w:r>
        <w:rPr>
          <w:sz w:val="21"/>
          <w:szCs w:val="21"/>
        </w:rPr>
        <w:t>A empresa que participar do processo licitatório deverá atuar no ramo pertinente ao objeto da licitação.</w:t>
      </w:r>
    </w:p>
    <w:p>
      <w:pPr>
        <w:pStyle w:val="ListParagraph"/>
        <w:numPr>
          <w:ilvl w:val="1"/>
          <w:numId w:val="1"/>
        </w:numPr>
        <w:tabs>
          <w:tab w:val="clear" w:pos="708"/>
          <w:tab w:val="left" w:pos="0" w:leader="none"/>
        </w:tabs>
        <w:spacing w:lineRule="auto" w:line="360" w:before="140" w:after="140"/>
        <w:contextualSpacing/>
        <w:rPr>
          <w:b/>
          <w:b/>
        </w:rPr>
      </w:pPr>
      <w:bookmarkStart w:id="6" w:name="_Hlk1291862592"/>
      <w:bookmarkEnd w:id="3"/>
      <w:bookmarkEnd w:id="6"/>
      <w:r>
        <w:rPr>
          <w:b/>
        </w:rPr>
        <w:t>ATENDIMENTO ÀS NORMAS TÉCNICAS</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Sabe-se que “a Administração Pública, ao especificar os objetos das licitações e dos contratos administrativos, deve fazê-lo em consonância às normas da ABNT. Não há espaço de discricionariedade para recusar as normas da ABNT, ainda que, eventualmente, se entenda que elas são desnecessárias ou restritivas à competição”.</w:t>
      </w:r>
      <w:r>
        <w:rPr>
          <w:rStyle w:val="Ncoradanotaderodap"/>
          <w:bCs/>
          <w:sz w:val="21"/>
          <w:szCs w:val="21"/>
        </w:rPr>
        <w:footnoteReference w:id="2"/>
      </w:r>
      <w:r>
        <w:rPr>
          <w:bCs/>
          <w:sz w:val="21"/>
          <w:szCs w:val="21"/>
        </w:rPr>
        <w:t xml:space="preserve"> Para delas, as normas técnicas de outras entidades também devem ser observadas, conforme dispõe o art. 39, inciso VIII, do CDC:</w:t>
      </w:r>
    </w:p>
    <w:p>
      <w:pPr>
        <w:pStyle w:val="Normal"/>
        <w:tabs>
          <w:tab w:val="clear" w:pos="708"/>
          <w:tab w:val="left" w:pos="2340" w:leader="none"/>
          <w:tab w:val="left" w:pos="4464" w:leader="none"/>
        </w:tabs>
        <w:spacing w:lineRule="auto" w:line="240" w:before="140" w:after="0"/>
        <w:ind w:left="2268" w:hanging="0"/>
        <w:jc w:val="both"/>
        <w:rPr>
          <w:bCs/>
          <w:sz w:val="18"/>
          <w:szCs w:val="18"/>
        </w:rPr>
      </w:pPr>
      <w:r>
        <w:rPr>
          <w:bCs/>
          <w:sz w:val="18"/>
          <w:szCs w:val="18"/>
        </w:rPr>
        <w:t>Art. 39. É vedado ao fornecedor de produtos ou serviços, dentre outras práticas abusivas: [...]</w:t>
      </w:r>
    </w:p>
    <w:p>
      <w:pPr>
        <w:pStyle w:val="Normal"/>
        <w:tabs>
          <w:tab w:val="clear" w:pos="708"/>
          <w:tab w:val="left" w:pos="2340" w:leader="none"/>
          <w:tab w:val="left" w:pos="4464" w:leader="none"/>
        </w:tabs>
        <w:spacing w:lineRule="auto" w:line="240" w:before="0" w:after="140"/>
        <w:ind w:left="2268" w:hanging="0"/>
        <w:jc w:val="both"/>
        <w:rPr>
          <w:bCs/>
          <w:sz w:val="18"/>
          <w:szCs w:val="18"/>
        </w:rPr>
      </w:pPr>
      <w:r>
        <w:rPr>
          <w:bCs/>
          <w:sz w:val="18"/>
          <w:szCs w:val="18"/>
        </w:rPr>
        <w:t>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(Conmetro);</w:t>
      </w:r>
    </w:p>
    <w:p>
      <w:pPr>
        <w:pStyle w:val="NormalWeb"/>
        <w:keepNext w:val="false"/>
        <w:keepLines w:val="false"/>
        <w:widowControl/>
        <w:spacing w:lineRule="auto" w:line="360" w:before="280" w:after="280"/>
        <w:ind w:firstLine="720"/>
        <w:jc w:val="both"/>
        <w:rPr/>
      </w:pPr>
      <w:r>
        <w:rPr>
          <w:rFonts w:cs="Arial" w:ascii="Arial" w:hAnsi="Arial"/>
          <w:bCs/>
          <w:sz w:val="21"/>
          <w:szCs w:val="21"/>
        </w:rPr>
        <w:t>Assim, como requisito para a contratação, os itens licitados devem atender às legislações e normas técnicas que estabelecem os requisitos de dimensões, material, uso, manutenção, descarte, entre outros. As normas a serem atendidas, a depender do bem em específico e sem exclusão de outras que vierem a ser aplicáveis</w:t>
      </w:r>
      <w:r>
        <w:rPr>
          <w:rFonts w:cs="Arial" w:ascii="Arial" w:hAnsi="Arial"/>
          <w:bCs/>
          <w:sz w:val="21"/>
          <w:szCs w:val="21"/>
          <w:lang w:val="pt-BR"/>
        </w:rPr>
        <w:t>.</w:t>
      </w:r>
    </w:p>
    <w:p>
      <w:pPr>
        <w:pStyle w:val="PargrafodaLista"/>
        <w:numPr>
          <w:ilvl w:val="1"/>
          <w:numId w:val="1"/>
        </w:numPr>
        <w:tabs>
          <w:tab w:val="clear" w:pos="708"/>
          <w:tab w:val="left" w:pos="0" w:leader="none"/>
        </w:tabs>
        <w:spacing w:lineRule="auto" w:line="360" w:before="140" w:after="140"/>
        <w:contextualSpacing/>
        <w:rPr>
          <w:b/>
          <w:b/>
        </w:rPr>
      </w:pPr>
      <w:r>
        <w:rPr>
          <w:b/>
        </w:rPr>
        <w:t xml:space="preserve">QUALIFICAÇÃO TÉCNICA </w:t>
      </w:r>
    </w:p>
    <w:p>
      <w:pPr>
        <w:pStyle w:val="PargrafodaLista"/>
        <w:spacing w:lineRule="auto" w:line="360" w:before="140" w:after="140"/>
        <w:ind w:left="0" w:right="0" w:firstLine="709"/>
        <w:contextualSpacing/>
        <w:jc w:val="both"/>
        <w:rPr/>
      </w:pPr>
      <w:r>
        <w:rPr>
          <w:sz w:val="21"/>
          <w:szCs w:val="21"/>
          <w:lang w:val="pt-BR"/>
        </w:rPr>
        <w:t>Para a Habilitação no processo licitatório a licitante deverá apresentar comprovação de Registro na Agência Nacional do Petróleo - ANP em nome da empresa licitante.</w:t>
      </w:r>
    </w:p>
    <w:p>
      <w:pPr>
        <w:pStyle w:val="Normal"/>
        <w:tabs>
          <w:tab w:val="clear" w:pos="708"/>
          <w:tab w:val="left" w:pos="709" w:leader="none"/>
          <w:tab w:val="left" w:pos="4464" w:leader="none"/>
        </w:tabs>
        <w:spacing w:lineRule="auto" w:line="360" w:before="140" w:after="140"/>
        <w:jc w:val="both"/>
        <w:rPr/>
      </w:pPr>
      <w:r>
        <w:rPr>
          <w:sz w:val="21"/>
          <w:szCs w:val="21"/>
        </w:rPr>
        <w:tab/>
        <w:t>Considerando que se torna necessária a aquisição periódica de Gás Liquefeito de Petróleo (GLP), conforme a demanda dos órgãos e entidades do Município, a entrega do produto deverá atender às exigências legais e regulamentares vigentes, incluindo as normas de segurança e qualidade estabelecidas pela Agência Nacional do Petróleo, Gás Natural e Biocombustíveis (ANP), garantindo que o fornecimento seja realizado de acordo com as especificações técnicas e padrões de segurança exigidos para a comercialização e utilização de GLP.</w:t>
      </w:r>
    </w:p>
    <w:p>
      <w:pPr>
        <w:pStyle w:val="Normal"/>
        <w:numPr>
          <w:ilvl w:val="1"/>
          <w:numId w:val="1"/>
        </w:numPr>
        <w:tabs>
          <w:tab w:val="clear" w:pos="708"/>
          <w:tab w:val="left" w:pos="0" w:leader="none"/>
          <w:tab w:val="left" w:pos="709" w:leader="none"/>
          <w:tab w:val="left" w:pos="4464" w:leader="none"/>
        </w:tabs>
        <w:spacing w:lineRule="auto" w:line="360" w:before="140" w:after="140"/>
        <w:jc w:val="both"/>
        <w:rPr>
          <w:b/>
          <w:b/>
        </w:rPr>
      </w:pPr>
      <w:r>
        <w:rPr>
          <w:b/>
        </w:rPr>
        <w:t>CRITÉRIOS DE SUSTENTABILIDADE</w:t>
      </w:r>
    </w:p>
    <w:p>
      <w:pPr>
        <w:pStyle w:val="Normal"/>
        <w:spacing w:lineRule="auto" w:line="360" w:before="142" w:after="142"/>
        <w:ind w:firstLine="709"/>
        <w:jc w:val="both"/>
        <w:rPr>
          <w:sz w:val="21"/>
          <w:szCs w:val="21"/>
        </w:rPr>
      </w:pPr>
      <w:r>
        <w:rPr>
          <w:sz w:val="21"/>
          <w:szCs w:val="21"/>
        </w:rPr>
        <w:t>Os serviços relacionados ao fornecimento de Gás Liquefeito de Petróleo (GLP) deverão respeitar as normas e princípios ambientais, minimizando ou mitigando os efeitos dos danos ao meio ambiente. A empresa contratada deverá atender aos critérios de sustentabilidade, sempre que possível, conforme os seguintes aspectos:</w:t>
      </w:r>
    </w:p>
    <w:p>
      <w:pPr>
        <w:pStyle w:val="Normal"/>
        <w:spacing w:lineRule="auto" w:line="360" w:before="142" w:after="142"/>
        <w:ind w:firstLine="709"/>
        <w:jc w:val="both"/>
        <w:rPr>
          <w:sz w:val="21"/>
          <w:szCs w:val="21"/>
        </w:rPr>
      </w:pPr>
      <w:r>
        <w:rPr>
          <w:sz w:val="21"/>
          <w:szCs w:val="21"/>
        </w:rPr>
        <w:t>1. Gestão de Resíduos: A empresa deverá adotar práticas adequadas para o descarte e reciclagem de embalagens de GLP e outros resíduos gerados durante a prestação dos serviços, em conformidade com as legislações ambientais vigentes.</w:t>
      </w:r>
    </w:p>
    <w:p>
      <w:pPr>
        <w:pStyle w:val="Normal"/>
        <w:spacing w:lineRule="auto" w:line="360" w:before="142" w:after="142"/>
        <w:ind w:firstLine="709"/>
        <w:jc w:val="both"/>
        <w:rPr>
          <w:sz w:val="21"/>
          <w:szCs w:val="21"/>
        </w:rPr>
      </w:pPr>
      <w:r>
        <w:rPr>
          <w:sz w:val="21"/>
          <w:szCs w:val="21"/>
        </w:rPr>
        <w:t>2. Eficiência Energética: O fornecimento de GLP deverá priorizar a utilização de práticas que garantam a máxima eficiência no uso do combustível, contribuindo para a redução do desperdício e o consumo consciente.</w:t>
      </w:r>
    </w:p>
    <w:p>
      <w:pPr>
        <w:pStyle w:val="Normal"/>
        <w:spacing w:lineRule="auto" w:line="360" w:before="142" w:after="142"/>
        <w:ind w:firstLine="709"/>
        <w:jc w:val="both"/>
        <w:rPr>
          <w:sz w:val="21"/>
          <w:szCs w:val="21"/>
        </w:rPr>
      </w:pPr>
      <w:r>
        <w:rPr>
          <w:sz w:val="21"/>
          <w:szCs w:val="21"/>
        </w:rPr>
        <w:t>3. Transporte Sustentável: O fornecedor deverá adotar medidas para a utilização de veículos que atendam a padrões ambientais, priorizando aqueles com menor impacto ambiental, como veículos que cumpram com as normas de emissão de poluentes e, quando possível, veículos movidos por fontes de energia mais limpas.</w:t>
      </w:r>
    </w:p>
    <w:p>
      <w:pPr>
        <w:pStyle w:val="Normal"/>
        <w:spacing w:lineRule="auto" w:line="360" w:before="142" w:after="142"/>
        <w:ind w:firstLine="709"/>
        <w:jc w:val="both"/>
        <w:rPr>
          <w:sz w:val="21"/>
          <w:szCs w:val="21"/>
        </w:rPr>
      </w:pPr>
      <w:r>
        <w:rPr>
          <w:sz w:val="21"/>
          <w:szCs w:val="21"/>
        </w:rPr>
        <w:t>4. Certificação Ambiental: A empresa contratada deverá possuir certificações ambientais que comprovem o comprometimento com a sustentabilidade e a adoção de boas práticas de gestão ambiental, como ISO 14001 ou outras certificações reconhecidas.</w:t>
      </w:r>
    </w:p>
    <w:p>
      <w:pPr>
        <w:pStyle w:val="Normal"/>
        <w:spacing w:lineRule="auto" w:line="360" w:before="142" w:after="142"/>
        <w:ind w:firstLine="709"/>
        <w:jc w:val="both"/>
        <w:rPr>
          <w:sz w:val="21"/>
          <w:szCs w:val="21"/>
        </w:rPr>
      </w:pPr>
      <w:r>
        <w:rPr>
          <w:sz w:val="21"/>
          <w:szCs w:val="21"/>
        </w:rPr>
        <w:t>5. Conformidade com Normas Ambientais: O fornecimento e a distribuição do GLP deverão seguir rigorosamente as normas da Agência Nacional do Petróleo, Gás Natural e Biocombustíveis (ANP), garantindo que o produto comercializado esteja em conformidade com os padrões de segurança e sustentabilidade exigidos.</w:t>
      </w:r>
    </w:p>
    <w:p>
      <w:pPr>
        <w:pStyle w:val="Normal"/>
        <w:spacing w:lineRule="auto" w:line="360" w:before="142" w:after="142"/>
        <w:ind w:firstLine="709"/>
        <w:jc w:val="both"/>
        <w:rPr>
          <w:sz w:val="21"/>
          <w:szCs w:val="21"/>
        </w:rPr>
      </w:pPr>
      <w:r>
        <w:rPr>
          <w:sz w:val="21"/>
          <w:szCs w:val="21"/>
        </w:rPr>
        <w:t>Esses critérios visam assegurar que o fornecimento de gás de cozinha seja realizado de forma responsável, com impacto mínimo sobre o meio ambiente e em consonância com as políticas públicas de sustentabilidade.</w:t>
      </w:r>
    </w:p>
    <w:p>
      <w:pPr>
        <w:pStyle w:val="ListParagraph"/>
        <w:numPr>
          <w:ilvl w:val="1"/>
          <w:numId w:val="1"/>
        </w:numPr>
        <w:tabs>
          <w:tab w:val="clear" w:pos="708"/>
          <w:tab w:val="left" w:pos="0" w:leader="none"/>
        </w:tabs>
        <w:spacing w:lineRule="auto" w:line="360" w:before="140" w:after="140"/>
        <w:contextualSpacing/>
        <w:rPr>
          <w:b/>
          <w:b/>
        </w:rPr>
      </w:pPr>
      <w:r>
        <w:rPr>
          <w:b/>
        </w:rPr>
        <w:t>MARCAS E MODELOS DE REFERÊNCIA</w:t>
      </w:r>
    </w:p>
    <w:p>
      <w:pPr>
        <w:pStyle w:val="Normal"/>
        <w:tabs>
          <w:tab w:val="clear" w:pos="708"/>
          <w:tab w:val="left" w:pos="2340" w:leader="none"/>
          <w:tab w:val="left" w:pos="4464" w:leader="none"/>
        </w:tabs>
        <w:spacing w:lineRule="auto" w:line="360" w:before="140" w:after="140"/>
        <w:ind w:firstLine="709"/>
        <w:jc w:val="both"/>
        <w:rPr>
          <w:bCs/>
          <w:sz w:val="21"/>
          <w:szCs w:val="21"/>
        </w:rPr>
      </w:pPr>
      <w:bookmarkStart w:id="7" w:name="_Hlk129167684"/>
      <w:r>
        <w:rPr>
          <w:bCs/>
          <w:sz w:val="21"/>
          <w:szCs w:val="21"/>
        </w:rPr>
        <w:t>Não se aplica.</w:t>
      </w:r>
      <w:bookmarkEnd w:id="7"/>
    </w:p>
    <w:p>
      <w:pPr>
        <w:pStyle w:val="ListParagraph"/>
        <w:numPr>
          <w:ilvl w:val="1"/>
          <w:numId w:val="1"/>
        </w:numPr>
        <w:tabs>
          <w:tab w:val="clear" w:pos="708"/>
          <w:tab w:val="left" w:pos="0" w:leader="none"/>
        </w:tabs>
        <w:spacing w:lineRule="auto" w:line="360" w:before="140" w:after="140"/>
        <w:contextualSpacing/>
        <w:rPr>
          <w:b/>
          <w:b/>
        </w:rPr>
      </w:pPr>
      <w:r>
        <w:rPr>
          <w:b/>
        </w:rPr>
        <w:t>PRÉ-QUALIFICAÇÃO DOS ITENS</w:t>
      </w:r>
    </w:p>
    <w:p>
      <w:pPr>
        <w:pStyle w:val="Normal"/>
        <w:tabs>
          <w:tab w:val="clear" w:pos="708"/>
          <w:tab w:val="left" w:pos="2340" w:leader="none"/>
          <w:tab w:val="left" w:pos="4464" w:leader="none"/>
        </w:tabs>
        <w:spacing w:lineRule="auto" w:line="360" w:before="140" w:after="140"/>
        <w:ind w:firstLine="709"/>
        <w:jc w:val="both"/>
        <w:rPr>
          <w:bCs/>
          <w:sz w:val="21"/>
          <w:szCs w:val="21"/>
        </w:rPr>
      </w:pPr>
      <w:bookmarkStart w:id="8" w:name="_Hlk12918625921"/>
      <w:bookmarkEnd w:id="2"/>
      <w:bookmarkEnd w:id="8"/>
      <w:r>
        <w:rPr>
          <w:bCs/>
          <w:sz w:val="21"/>
          <w:szCs w:val="21"/>
        </w:rPr>
        <w:t>Não se aplica.</w:t>
      </w:r>
    </w:p>
    <w:p>
      <w:pPr>
        <w:pStyle w:val="ListParagraph"/>
        <w:numPr>
          <w:ilvl w:val="0"/>
          <w:numId w:val="1"/>
        </w:numPr>
        <w:tabs>
          <w:tab w:val="clear" w:pos="708"/>
          <w:tab w:val="left" w:pos="0" w:leader="none"/>
        </w:tabs>
        <w:spacing w:lineRule="auto" w:line="360" w:before="140" w:after="140"/>
        <w:contextualSpacing/>
        <w:rPr>
          <w:b/>
          <w:b/>
        </w:rPr>
      </w:pPr>
      <w:r>
        <w:rPr>
          <w:b/>
        </w:rPr>
        <w:t>ESTIMATIVA DO VALOR DA CONTRATAÇÃO</w:t>
      </w:r>
    </w:p>
    <w:p>
      <w:pPr>
        <w:pStyle w:val="Normal"/>
        <w:tabs>
          <w:tab w:val="clear" w:pos="708"/>
          <w:tab w:val="left" w:pos="2340" w:leader="none"/>
          <w:tab w:val="left" w:pos="4464" w:leader="none"/>
        </w:tabs>
        <w:spacing w:lineRule="auto" w:line="360" w:before="140" w:after="140"/>
        <w:ind w:firstLine="709"/>
        <w:jc w:val="both"/>
        <w:rPr>
          <w:rFonts w:eastAsia="Times New Roman"/>
          <w:b/>
          <w:b/>
          <w:bCs/>
          <w:color w:val="000000"/>
          <w:sz w:val="21"/>
          <w:szCs w:val="21"/>
          <w:lang w:eastAsia="pt-BR"/>
        </w:rPr>
      </w:pPr>
      <w:r>
        <w:rPr>
          <w:rFonts w:eastAsia="Times New Roman"/>
          <w:b/>
          <w:bCs/>
          <w:color w:val="000000"/>
          <w:sz w:val="21"/>
          <w:szCs w:val="21"/>
          <w:lang w:eastAsia="pt-BR"/>
        </w:rPr>
        <w:t xml:space="preserve">O valor da contratação fora estimado a partir dos quantitativos já expostos no corpo deste Termo de Referência e da pesquisa de preços realizada nos termos do art. 23, </w:t>
      </w:r>
      <w:r>
        <w:rPr>
          <w:rFonts w:eastAsia="Times New Roman"/>
          <w:b/>
          <w:bCs/>
          <w:i/>
          <w:iCs/>
          <w:color w:val="000000"/>
          <w:sz w:val="21"/>
          <w:szCs w:val="21"/>
          <w:lang w:eastAsia="pt-BR"/>
        </w:rPr>
        <w:t>caput</w:t>
      </w:r>
      <w:r>
        <w:rPr>
          <w:rFonts w:eastAsia="Times New Roman"/>
          <w:b/>
          <w:bCs/>
          <w:color w:val="000000"/>
          <w:sz w:val="21"/>
          <w:szCs w:val="21"/>
          <w:lang w:eastAsia="pt-BR"/>
        </w:rPr>
        <w:t xml:space="preserve"> e § 1º, da Lei Federal n. 14.133/2021.</w:t>
      </w:r>
    </w:p>
    <w:tbl>
      <w:tblPr>
        <w:tblW w:w="9454" w:type="dxa"/>
        <w:jc w:val="left"/>
        <w:tblInd w:w="70" w:type="dxa"/>
        <w:tblLayout w:type="fixed"/>
        <w:tblCellMar>
          <w:top w:w="0" w:type="dxa"/>
          <w:left w:w="70" w:type="dxa"/>
          <w:bottom w:w="0" w:type="dxa"/>
          <w:right w:w="70" w:type="dxa"/>
        </w:tblCellMar>
      </w:tblPr>
      <w:tblGrid>
        <w:gridCol w:w="681"/>
        <w:gridCol w:w="685"/>
        <w:gridCol w:w="634"/>
        <w:gridCol w:w="2558"/>
        <w:gridCol w:w="1527"/>
        <w:gridCol w:w="1270"/>
        <w:gridCol w:w="2098"/>
      </w:tblGrid>
      <w:tr>
        <w:trPr>
          <w:tblHeader w:val="true"/>
          <w:trHeight w:val="567" w:hRule="atLeast"/>
        </w:trPr>
        <w:tc>
          <w:tcPr>
            <w:tcW w:w="681" w:type="dxa"/>
            <w:tcBorders>
              <w:top w:val="single" w:sz="8" w:space="0" w:color="000000"/>
              <w:left w:val="single" w:sz="8" w:space="0" w:color="000000"/>
              <w:bottom w:val="single" w:sz="8" w:space="0" w:color="000000"/>
              <w:right w:val="single" w:sz="8" w:space="0" w:color="000000"/>
            </w:tcBorders>
            <w:shd w:fill="969696" w:val="clear"/>
          </w:tcPr>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Lote</w:t>
            </w:r>
          </w:p>
        </w:tc>
        <w:tc>
          <w:tcPr>
            <w:tcW w:w="685"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ITEM</w:t>
            </w:r>
          </w:p>
        </w:tc>
        <w:tc>
          <w:tcPr>
            <w:tcW w:w="634" w:type="dxa"/>
            <w:tcBorders>
              <w:top w:val="single" w:sz="8" w:space="0" w:color="000000"/>
              <w:bottom w:val="single" w:sz="8" w:space="0" w:color="000000"/>
              <w:right w:val="single" w:sz="8" w:space="0" w:color="000000"/>
            </w:tcBorders>
            <w:shd w:fill="969696" w:val="clear"/>
            <w:vAlign w:val="center"/>
          </w:tcPr>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QTD</w:t>
            </w:r>
          </w:p>
        </w:tc>
        <w:tc>
          <w:tcPr>
            <w:tcW w:w="2558" w:type="dxa"/>
            <w:tcBorders>
              <w:top w:val="single" w:sz="8" w:space="0" w:color="000000"/>
              <w:bottom w:val="single" w:sz="8" w:space="0" w:color="000000"/>
              <w:right w:val="single" w:sz="8" w:space="0" w:color="000000"/>
            </w:tcBorders>
            <w:shd w:fill="969696" w:val="clear"/>
            <w:vAlign w:val="center"/>
          </w:tcPr>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DESCRIÇÃO</w:t>
            </w:r>
          </w:p>
        </w:tc>
        <w:tc>
          <w:tcPr>
            <w:tcW w:w="1527" w:type="dxa"/>
            <w:tcBorders>
              <w:top w:val="single" w:sz="8" w:space="0" w:color="000000"/>
              <w:bottom w:val="single" w:sz="8" w:space="0" w:color="000000"/>
              <w:right w:val="single" w:sz="4" w:space="0" w:color="000000"/>
            </w:tcBorders>
            <w:shd w:fill="969696" w:val="clear"/>
            <w:vAlign w:val="center"/>
          </w:tcPr>
          <w:p>
            <w:pPr>
              <w:pStyle w:val="Normal"/>
              <w:widowControl w:val="false"/>
              <w:spacing w:before="0" w:after="160"/>
              <w:jc w:val="center"/>
              <w:rPr/>
            </w:pPr>
            <w:r>
              <w:rPr>
                <w:rFonts w:eastAsia="Times New Roman" w:cs="Arial" w:ascii="Arial" w:hAnsi="Arial"/>
                <w:b/>
                <w:bCs/>
                <w:color w:val="000000"/>
                <w:sz w:val="20"/>
                <w:szCs w:val="20"/>
                <w:lang w:eastAsia="pt-BR"/>
              </w:rPr>
              <w:t>PREÇO ESTIMADO UNITÁRIO</w:t>
            </w:r>
            <w:r>
              <w:rPr>
                <w:rFonts w:eastAsia="Times New Roman" w:cs="Arial" w:ascii="Arial" w:hAnsi="Arial"/>
                <w:b/>
                <w:bCs/>
                <w:color w:val="000000"/>
                <w:sz w:val="20"/>
                <w:szCs w:val="20"/>
                <w:lang w:val="en-US" w:eastAsia="pt-BR"/>
              </w:rPr>
              <w:t xml:space="preserve"> (R$)</w:t>
            </w:r>
          </w:p>
        </w:tc>
        <w:tc>
          <w:tcPr>
            <w:tcW w:w="1270" w:type="dxa"/>
            <w:tcBorders>
              <w:top w:val="single" w:sz="8" w:space="0" w:color="000000"/>
              <w:left w:val="single" w:sz="4" w:space="0" w:color="000000"/>
              <w:bottom w:val="single" w:sz="8" w:space="0" w:color="000000"/>
              <w:right w:val="single" w:sz="8" w:space="0" w:color="000000"/>
            </w:tcBorders>
            <w:shd w:fill="969696" w:val="clear"/>
            <w:vAlign w:val="center"/>
          </w:tcPr>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PREÇO</w:t>
            </w:r>
          </w:p>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ESTIMADO</w:t>
            </w:r>
          </w:p>
          <w:p>
            <w:pPr>
              <w:pStyle w:val="Normal"/>
              <w:widowControl w:val="false"/>
              <w:spacing w:before="0" w:after="160"/>
              <w:jc w:val="center"/>
              <w:rPr/>
            </w:pPr>
            <w:r>
              <w:rPr>
                <w:rFonts w:eastAsia="Times New Roman" w:cs="Arial" w:ascii="Arial" w:hAnsi="Arial"/>
                <w:b/>
                <w:bCs/>
                <w:color w:val="000000"/>
                <w:sz w:val="20"/>
                <w:szCs w:val="20"/>
                <w:lang w:eastAsia="pt-BR"/>
              </w:rPr>
              <w:t>TOTAL</w:t>
            </w:r>
            <w:r>
              <w:rPr>
                <w:rFonts w:eastAsia="Times New Roman" w:cs="Arial" w:ascii="Arial" w:hAnsi="Arial"/>
                <w:b/>
                <w:bCs/>
                <w:color w:val="000000"/>
                <w:sz w:val="20"/>
                <w:szCs w:val="20"/>
                <w:lang w:val="en-US" w:eastAsia="pt-BR"/>
              </w:rPr>
              <w:t xml:space="preserve"> (R$)</w:t>
            </w:r>
          </w:p>
        </w:tc>
        <w:tc>
          <w:tcPr>
            <w:tcW w:w="2098" w:type="dxa"/>
            <w:tcBorders>
              <w:top w:val="single" w:sz="8" w:space="0" w:color="000000"/>
              <w:bottom w:val="single" w:sz="8" w:space="0" w:color="000000"/>
              <w:right w:val="single" w:sz="8" w:space="0" w:color="000000"/>
            </w:tcBorders>
            <w:shd w:fill="969696" w:val="clear"/>
            <w:vAlign w:val="center"/>
          </w:tcPr>
          <w:p>
            <w:pPr>
              <w:pStyle w:val="Normal"/>
              <w:widowControl w:val="false"/>
              <w:spacing w:before="0" w:after="160"/>
              <w:jc w:val="center"/>
              <w:rPr>
                <w:rFonts w:ascii="Arial" w:hAnsi="Arial" w:cs="Arial"/>
                <w:b/>
                <w:b/>
                <w:bCs/>
                <w:sz w:val="20"/>
                <w:szCs w:val="20"/>
              </w:rPr>
            </w:pPr>
            <w:r>
              <w:rPr>
                <w:rFonts w:cs="Arial" w:ascii="Arial" w:hAnsi="Arial"/>
                <w:b/>
                <w:bCs/>
                <w:sz w:val="20"/>
                <w:szCs w:val="20"/>
              </w:rPr>
              <w:t>Qtde por dotações</w:t>
            </w:r>
          </w:p>
        </w:tc>
      </w:tr>
      <w:tr>
        <w:trPr>
          <w:trHeight w:val="430" w:hRule="atLeast"/>
        </w:trPr>
        <w:tc>
          <w:tcPr>
            <w:tcW w:w="681" w:type="dxa"/>
            <w:vMerge w:val="restart"/>
            <w:tcBorders>
              <w:left w:val="single" w:sz="8" w:space="0" w:color="000000"/>
              <w:right w:val="single" w:sz="8" w:space="0" w:color="000000"/>
            </w:tcBorders>
          </w:tcPr>
          <w:p>
            <w:pPr>
              <w:pStyle w:val="Normal"/>
              <w:widowControl w:val="false"/>
              <w:snapToGrid w:val="false"/>
              <w:jc w:val="center"/>
              <w:rPr>
                <w:rFonts w:ascii="Arial" w:hAnsi="Arial" w:eastAsia="Times New Roman" w:cs="Arial"/>
                <w:b/>
                <w:b/>
                <w:bCs/>
                <w:color w:val="000000"/>
                <w:sz w:val="20"/>
                <w:szCs w:val="20"/>
                <w:lang w:val="en-US" w:eastAsia="pt-BR"/>
              </w:rPr>
            </w:pPr>
            <w:r>
              <w:rPr>
                <w:rFonts w:eastAsia="Times New Roman" w:cs="Arial" w:ascii="Arial" w:hAnsi="Arial"/>
                <w:b/>
                <w:bCs/>
                <w:color w:val="000000"/>
                <w:sz w:val="20"/>
                <w:szCs w:val="20"/>
                <w:lang w:val="en-US" w:eastAsia="pt-BR"/>
              </w:rPr>
            </w:r>
          </w:p>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r>
          </w:p>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r>
          </w:p>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r>
          </w:p>
          <w:p>
            <w:pPr>
              <w:pStyle w:val="Normal"/>
              <w:widowControl w:val="false"/>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r>
          </w:p>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01</w:t>
            </w:r>
          </w:p>
        </w:tc>
        <w:tc>
          <w:tcPr>
            <w:tcW w:w="685" w:type="dxa"/>
            <w:tcBorders>
              <w:left w:val="single" w:sz="8" w:space="0" w:color="000000"/>
              <w:bottom w:val="single" w:sz="8" w:space="0" w:color="000000"/>
              <w:right w:val="single" w:sz="8" w:space="0" w:color="000000"/>
            </w:tcBorders>
            <w:vAlign w:val="center"/>
          </w:tcPr>
          <w:p>
            <w:pPr>
              <w:pStyle w:val="Normal"/>
              <w:widowControl w:val="false"/>
              <w:spacing w:before="0" w:after="160"/>
              <w:jc w:val="center"/>
              <w:rPr>
                <w:rFonts w:ascii="Arial" w:hAnsi="Arial" w:eastAsia="Times New Roman" w:cs="Arial"/>
                <w:b/>
                <w:b/>
                <w:bCs/>
                <w:color w:val="000000"/>
                <w:sz w:val="20"/>
                <w:szCs w:val="20"/>
                <w:lang w:eastAsia="pt-BR"/>
              </w:rPr>
            </w:pPr>
            <w:r>
              <w:rPr>
                <w:rFonts w:eastAsia="Times New Roman" w:cs="Arial" w:ascii="Arial" w:hAnsi="Arial"/>
                <w:b/>
                <w:bCs/>
                <w:color w:val="000000"/>
                <w:sz w:val="20"/>
                <w:szCs w:val="20"/>
                <w:lang w:eastAsia="pt-BR"/>
              </w:rPr>
              <w:t>01</w:t>
            </w:r>
          </w:p>
        </w:tc>
        <w:tc>
          <w:tcPr>
            <w:tcW w:w="634" w:type="dxa"/>
            <w:tcBorders>
              <w:bottom w:val="single" w:sz="8" w:space="0" w:color="000000"/>
              <w:right w:val="single" w:sz="8" w:space="0" w:color="000000"/>
            </w:tcBorders>
            <w:vAlign w:val="center"/>
          </w:tcPr>
          <w:p>
            <w:pPr>
              <w:pStyle w:val="Normal"/>
              <w:widowControl w:val="false"/>
              <w:spacing w:before="0" w:after="160"/>
              <w:jc w:val="center"/>
              <w:rPr/>
            </w:pPr>
            <w:r>
              <w:rPr>
                <w:rFonts w:cs="Arial" w:ascii="Arial" w:hAnsi="Arial"/>
                <w:sz w:val="20"/>
                <w:szCs w:val="20"/>
                <w:lang w:val="pt-BR"/>
              </w:rPr>
              <w:t>9</w:t>
            </w:r>
            <w:r>
              <w:rPr>
                <w:rFonts w:cs="Arial" w:ascii="Arial" w:hAnsi="Arial"/>
                <w:sz w:val="20"/>
                <w:szCs w:val="20"/>
              </w:rPr>
              <w:t>3</w:t>
            </w:r>
          </w:p>
        </w:tc>
        <w:tc>
          <w:tcPr>
            <w:tcW w:w="2558" w:type="dxa"/>
            <w:tcBorders>
              <w:bottom w:val="single" w:sz="8" w:space="0" w:color="000000"/>
              <w:right w:val="single" w:sz="8" w:space="0" w:color="000000"/>
            </w:tcBorders>
            <w:vAlign w:val="center"/>
          </w:tcPr>
          <w:p>
            <w:pPr>
              <w:pStyle w:val="Normal"/>
              <w:widowControl w:val="false"/>
              <w:snapToGrid w:val="false"/>
              <w:spacing w:before="0" w:after="160"/>
              <w:rPr/>
            </w:pPr>
            <w:r>
              <w:rPr>
                <w:rFonts w:cs="Arial" w:ascii="Arial" w:hAnsi="Arial"/>
                <w:sz w:val="20"/>
                <w:szCs w:val="20"/>
              </w:rPr>
              <w:t>Gás de cozinha de (GLP) 13kg</w:t>
            </w:r>
            <w:r>
              <w:rPr>
                <w:rFonts w:eastAsia="Arial" w:cs="Arial" w:ascii="Arial" w:hAnsi="Arial"/>
                <w:sz w:val="20"/>
                <w:szCs w:val="20"/>
                <w:lang w:bidi="hi-IN"/>
              </w:rPr>
              <w:t xml:space="preserve"> (carga)</w:t>
            </w:r>
          </w:p>
        </w:tc>
        <w:tc>
          <w:tcPr>
            <w:tcW w:w="1527" w:type="dxa"/>
            <w:tcBorders>
              <w:bottom w:val="single" w:sz="8" w:space="0" w:color="000000"/>
              <w:right w:val="single" w:sz="4" w:space="0" w:color="000000"/>
            </w:tcBorders>
            <w:vAlign w:val="center"/>
          </w:tcPr>
          <w:p>
            <w:pPr>
              <w:pStyle w:val="Normal"/>
              <w:widowControl w:val="false"/>
              <w:spacing w:before="0" w:after="160"/>
              <w:jc w:val="right"/>
              <w:rPr>
                <w:rFonts w:ascii="Arial" w:hAnsi="Arial" w:cs="Arial"/>
                <w:sz w:val="20"/>
                <w:szCs w:val="20"/>
              </w:rPr>
            </w:pPr>
            <w:r>
              <w:rPr>
                <w:rFonts w:cs="Arial" w:ascii="Arial" w:hAnsi="Arial"/>
                <w:sz w:val="20"/>
                <w:szCs w:val="20"/>
              </w:rPr>
              <w:t>120,00</w:t>
            </w:r>
          </w:p>
        </w:tc>
        <w:tc>
          <w:tcPr>
            <w:tcW w:w="1270" w:type="dxa"/>
            <w:tcBorders>
              <w:left w:val="single" w:sz="4" w:space="0" w:color="000000"/>
              <w:bottom w:val="single" w:sz="8" w:space="0" w:color="000000"/>
              <w:right w:val="single" w:sz="8" w:space="0" w:color="000000"/>
            </w:tcBorders>
            <w:vAlign w:val="center"/>
          </w:tcPr>
          <w:p>
            <w:pPr>
              <w:pStyle w:val="Normal"/>
              <w:widowControl w:val="false"/>
              <w:spacing w:before="0" w:after="160"/>
              <w:jc w:val="right"/>
              <w:rPr/>
            </w:pPr>
            <w:r>
              <w:rPr>
                <w:rFonts w:cs="Arial" w:ascii="Arial" w:hAnsi="Arial"/>
                <w:sz w:val="20"/>
                <w:szCs w:val="20"/>
                <w:lang w:val="pt-BR"/>
              </w:rPr>
              <w:t>11.1</w:t>
            </w:r>
            <w:r>
              <w:rPr>
                <w:rFonts w:cs="Arial" w:ascii="Arial" w:hAnsi="Arial"/>
                <w:sz w:val="20"/>
                <w:szCs w:val="20"/>
              </w:rPr>
              <w:t>60,00</w:t>
            </w:r>
          </w:p>
        </w:tc>
        <w:tc>
          <w:tcPr>
            <w:tcW w:w="2098" w:type="dxa"/>
            <w:tcBorders>
              <w:bottom w:val="single" w:sz="8" w:space="0" w:color="000000"/>
              <w:right w:val="single" w:sz="8" w:space="0" w:color="000000"/>
            </w:tcBorders>
            <w:vAlign w:val="center"/>
          </w:tcPr>
          <w:p>
            <w:pPr>
              <w:pStyle w:val="Contedodatabela"/>
              <w:widowControl w:val="false"/>
              <w:spacing w:lineRule="auto" w:line="276"/>
              <w:jc w:val="right"/>
              <w:rPr>
                <w:rFonts w:ascii="Arial" w:hAnsi="Arial" w:cs="Arial"/>
                <w:sz w:val="20"/>
                <w:szCs w:val="20"/>
              </w:rPr>
            </w:pPr>
            <w:r>
              <w:rPr>
                <w:rFonts w:cs="Arial"/>
                <w:sz w:val="20"/>
                <w:szCs w:val="20"/>
              </w:rPr>
              <w:t xml:space="preserve">Social – </w:t>
            </w:r>
            <w:r>
              <w:rPr>
                <w:rFonts w:cs="Arial"/>
                <w:b/>
                <w:bCs/>
                <w:sz w:val="20"/>
                <w:szCs w:val="20"/>
              </w:rPr>
              <w:t>0</w:t>
            </w:r>
            <w:r>
              <w:rPr>
                <w:rFonts w:cs="Arial"/>
                <w:b/>
                <w:bCs/>
                <w:sz w:val="20"/>
                <w:szCs w:val="20"/>
                <w:lang w:val="pt-BR"/>
              </w:rPr>
              <w:t>4</w:t>
            </w:r>
          </w:p>
          <w:p>
            <w:pPr>
              <w:pStyle w:val="Contedodatabela"/>
              <w:widowControl w:val="false"/>
              <w:spacing w:lineRule="auto" w:line="276"/>
              <w:jc w:val="right"/>
              <w:rPr>
                <w:rFonts w:ascii="Arial" w:hAnsi="Arial" w:cs="Arial"/>
                <w:b/>
                <w:b/>
                <w:bCs/>
                <w:sz w:val="20"/>
                <w:szCs w:val="20"/>
              </w:rPr>
            </w:pPr>
            <w:r>
              <w:rPr>
                <w:rFonts w:cs="Arial"/>
                <w:sz w:val="20"/>
                <w:szCs w:val="20"/>
              </w:rPr>
              <w:t>CRAS –</w:t>
            </w:r>
            <w:r>
              <w:rPr>
                <w:rFonts w:cs="Arial"/>
                <w:b/>
                <w:bCs/>
                <w:sz w:val="20"/>
                <w:szCs w:val="20"/>
              </w:rPr>
              <w:t xml:space="preserve"> 1</w:t>
            </w:r>
            <w:r>
              <w:rPr>
                <w:rFonts w:cs="Arial"/>
                <w:b/>
                <w:bCs/>
                <w:sz w:val="20"/>
                <w:szCs w:val="20"/>
                <w:lang w:val="pt-BR"/>
              </w:rPr>
              <w:t>5</w:t>
            </w:r>
          </w:p>
          <w:p>
            <w:pPr>
              <w:pStyle w:val="Contedodatabela"/>
              <w:widowControl w:val="false"/>
              <w:spacing w:lineRule="auto" w:line="276"/>
              <w:jc w:val="right"/>
              <w:rPr>
                <w:rFonts w:ascii="Arial" w:hAnsi="Arial" w:cs="Arial"/>
                <w:sz w:val="20"/>
                <w:szCs w:val="20"/>
              </w:rPr>
            </w:pPr>
            <w:r>
              <w:rPr>
                <w:rFonts w:cs="Arial"/>
                <w:sz w:val="20"/>
                <w:szCs w:val="20"/>
              </w:rPr>
              <w:t xml:space="preserve">Cons. tutelar – </w:t>
            </w:r>
            <w:r>
              <w:rPr>
                <w:rFonts w:cs="Arial"/>
                <w:b/>
                <w:bCs/>
                <w:sz w:val="20"/>
                <w:szCs w:val="20"/>
              </w:rPr>
              <w:t>0</w:t>
            </w:r>
            <w:r>
              <w:rPr>
                <w:rFonts w:cs="Arial"/>
                <w:b/>
                <w:bCs/>
                <w:sz w:val="20"/>
                <w:szCs w:val="20"/>
                <w:lang w:val="pt-BR"/>
              </w:rPr>
              <w:t>7</w:t>
            </w:r>
          </w:p>
          <w:p>
            <w:pPr>
              <w:pStyle w:val="Contedodatabela"/>
              <w:widowControl w:val="false"/>
              <w:spacing w:lineRule="auto" w:line="276"/>
              <w:jc w:val="right"/>
              <w:rPr>
                <w:rFonts w:ascii="Arial" w:hAnsi="Arial" w:cs="Arial"/>
                <w:sz w:val="20"/>
                <w:szCs w:val="20"/>
              </w:rPr>
            </w:pPr>
            <w:r>
              <w:rPr>
                <w:rFonts w:cs="Arial"/>
                <w:sz w:val="20"/>
                <w:szCs w:val="20"/>
              </w:rPr>
              <w:t xml:space="preserve">Administração - </w:t>
            </w:r>
            <w:r>
              <w:rPr>
                <w:rFonts w:cs="Arial"/>
                <w:b/>
                <w:bCs/>
                <w:sz w:val="20"/>
                <w:szCs w:val="20"/>
              </w:rPr>
              <w:t>1</w:t>
            </w:r>
            <w:r>
              <w:rPr>
                <w:rFonts w:cs="Arial"/>
                <w:b/>
                <w:bCs/>
                <w:sz w:val="20"/>
                <w:szCs w:val="20"/>
                <w:lang w:val="pt-BR"/>
              </w:rPr>
              <w:t>6</w:t>
            </w:r>
          </w:p>
          <w:p>
            <w:pPr>
              <w:pStyle w:val="Contedodatabela"/>
              <w:widowControl w:val="false"/>
              <w:spacing w:lineRule="auto" w:line="276"/>
              <w:jc w:val="right"/>
              <w:rPr>
                <w:rFonts w:ascii="Arial" w:hAnsi="Arial" w:cs="Arial"/>
                <w:sz w:val="20"/>
                <w:szCs w:val="20"/>
              </w:rPr>
            </w:pPr>
            <w:r>
              <w:rPr>
                <w:rFonts w:cs="Arial"/>
                <w:sz w:val="20"/>
                <w:szCs w:val="20"/>
              </w:rPr>
              <w:t xml:space="preserve">Saúde – </w:t>
            </w:r>
            <w:r>
              <w:rPr>
                <w:rFonts w:cs="Arial"/>
                <w:b/>
                <w:bCs/>
                <w:sz w:val="20"/>
                <w:szCs w:val="20"/>
              </w:rPr>
              <w:t>1</w:t>
            </w:r>
            <w:r>
              <w:rPr>
                <w:rFonts w:cs="Arial"/>
                <w:b/>
                <w:bCs/>
                <w:sz w:val="20"/>
                <w:szCs w:val="20"/>
                <w:lang w:val="pt-BR"/>
              </w:rPr>
              <w:t>3</w:t>
            </w:r>
          </w:p>
          <w:p>
            <w:pPr>
              <w:pStyle w:val="Contedodatabela"/>
              <w:widowControl w:val="false"/>
              <w:spacing w:lineRule="auto" w:line="276"/>
              <w:jc w:val="right"/>
              <w:rPr/>
            </w:pPr>
            <w:r>
              <w:rPr>
                <w:rFonts w:cs="Arial"/>
                <w:sz w:val="20"/>
                <w:szCs w:val="20"/>
              </w:rPr>
              <w:t>Infraes</w:t>
            </w:r>
            <w:r>
              <w:rPr>
                <w:rFonts w:cs="Arial"/>
                <w:sz w:val="20"/>
                <w:szCs w:val="20"/>
                <w:lang w:val="pt-BR"/>
              </w:rPr>
              <w:t xml:space="preserve">trutura - </w:t>
            </w:r>
            <w:r>
              <w:rPr>
                <w:rFonts w:cs="Arial"/>
                <w:b/>
                <w:bCs/>
                <w:sz w:val="20"/>
                <w:szCs w:val="20"/>
                <w:lang w:val="pt-BR"/>
              </w:rPr>
              <w:t>11</w:t>
            </w:r>
          </w:p>
          <w:p>
            <w:pPr>
              <w:pStyle w:val="Contedodatabela"/>
              <w:widowControl w:val="false"/>
              <w:spacing w:lineRule="auto" w:line="276"/>
              <w:jc w:val="right"/>
              <w:rPr>
                <w:rFonts w:ascii="Arial" w:hAnsi="Arial" w:cs="Arial"/>
                <w:b/>
                <w:b/>
                <w:bCs/>
                <w:sz w:val="20"/>
                <w:szCs w:val="20"/>
              </w:rPr>
            </w:pPr>
            <w:r>
              <w:rPr>
                <w:rFonts w:cs="Arial"/>
                <w:sz w:val="20"/>
                <w:szCs w:val="20"/>
              </w:rPr>
              <w:t xml:space="preserve">Urbanismo – </w:t>
            </w:r>
            <w:r>
              <w:rPr>
                <w:rFonts w:cs="Arial"/>
                <w:b/>
                <w:bCs/>
                <w:sz w:val="20"/>
                <w:szCs w:val="20"/>
                <w:lang w:val="pt-BR"/>
              </w:rPr>
              <w:t>06</w:t>
            </w:r>
          </w:p>
          <w:p>
            <w:pPr>
              <w:pStyle w:val="Normal"/>
              <w:widowControl w:val="false"/>
              <w:jc w:val="right"/>
              <w:rPr/>
            </w:pPr>
            <w:r>
              <w:rPr>
                <w:rFonts w:cs="Arial" w:ascii="Arial" w:hAnsi="Arial"/>
                <w:sz w:val="20"/>
                <w:szCs w:val="20"/>
              </w:rPr>
              <w:t xml:space="preserve">Educação – </w:t>
            </w:r>
            <w:r>
              <w:rPr>
                <w:rFonts w:cs="Arial" w:ascii="Arial" w:hAnsi="Arial"/>
                <w:b/>
                <w:bCs/>
                <w:sz w:val="20"/>
                <w:szCs w:val="20"/>
              </w:rPr>
              <w:t>1</w:t>
            </w:r>
            <w:r>
              <w:rPr>
                <w:rFonts w:cs="Arial"/>
                <w:b/>
                <w:bCs/>
                <w:sz w:val="20"/>
                <w:szCs w:val="20"/>
                <w:lang w:val="pt-BR"/>
              </w:rPr>
              <w:t>8</w:t>
            </w:r>
            <w:r>
              <w:rPr>
                <w:rFonts w:cs="Arial" w:ascii="Arial" w:hAnsi="Arial"/>
                <w:b/>
                <w:bCs/>
                <w:sz w:val="20"/>
                <w:szCs w:val="20"/>
              </w:rPr>
              <w:t xml:space="preserve"> </w:t>
            </w:r>
            <w:r>
              <w:rPr>
                <w:rFonts w:cs="Arial" w:ascii="Arial" w:hAnsi="Arial"/>
                <w:b/>
                <w:bCs/>
                <w:i/>
                <w:iCs/>
                <w:sz w:val="18"/>
                <w:szCs w:val="18"/>
              </w:rPr>
              <w:t>(fundamental - 1</w:t>
            </w:r>
            <w:r>
              <w:rPr>
                <w:rFonts w:cs="Arial"/>
                <w:b/>
                <w:bCs/>
                <w:i/>
                <w:iCs/>
                <w:sz w:val="18"/>
                <w:szCs w:val="18"/>
                <w:lang w:val="pt-BR"/>
              </w:rPr>
              <w:t>3</w:t>
            </w:r>
            <w:r>
              <w:rPr>
                <w:rFonts w:cs="Arial" w:ascii="Arial" w:hAnsi="Arial"/>
                <w:b/>
                <w:bCs/>
                <w:i/>
                <w:iCs/>
                <w:sz w:val="18"/>
                <w:szCs w:val="18"/>
              </w:rPr>
              <w:t>)</w:t>
            </w:r>
          </w:p>
          <w:p>
            <w:pPr>
              <w:pStyle w:val="Normal"/>
              <w:widowControl w:val="false"/>
              <w:jc w:val="right"/>
              <w:rPr/>
            </w:pPr>
            <w:r>
              <w:rPr>
                <w:rFonts w:cs="Arial" w:ascii="Arial" w:hAnsi="Arial"/>
                <w:b/>
                <w:bCs/>
                <w:i/>
                <w:iCs/>
                <w:sz w:val="18"/>
                <w:szCs w:val="18"/>
                <w:lang w:val="pt-BR"/>
              </w:rPr>
              <w:t>(</w:t>
            </w:r>
            <w:r>
              <w:rPr>
                <w:rFonts w:cs="Arial" w:ascii="Arial" w:hAnsi="Arial"/>
                <w:b/>
                <w:bCs/>
                <w:i/>
                <w:iCs/>
                <w:sz w:val="18"/>
                <w:szCs w:val="18"/>
              </w:rPr>
              <w:t>Educação - 0</w:t>
            </w:r>
            <w:r>
              <w:rPr>
                <w:rFonts w:cs="Arial"/>
                <w:b/>
                <w:bCs/>
                <w:i/>
                <w:iCs/>
                <w:sz w:val="18"/>
                <w:szCs w:val="18"/>
                <w:lang w:val="pt-BR"/>
              </w:rPr>
              <w:t>5</w:t>
            </w:r>
            <w:r>
              <w:rPr>
                <w:rFonts w:cs="Arial" w:ascii="Arial" w:hAnsi="Arial"/>
                <w:b/>
                <w:bCs/>
                <w:i/>
                <w:iCs/>
                <w:sz w:val="18"/>
                <w:szCs w:val="18"/>
              </w:rPr>
              <w:t>)</w:t>
            </w:r>
          </w:p>
          <w:p>
            <w:pPr>
              <w:pStyle w:val="Normal"/>
              <w:widowControl w:val="false"/>
              <w:spacing w:before="0" w:after="160"/>
              <w:jc w:val="right"/>
              <w:rPr/>
            </w:pPr>
            <w:r>
              <w:rPr>
                <w:rFonts w:cs="Arial" w:ascii="Arial" w:hAnsi="Arial"/>
                <w:b w:val="false"/>
                <w:bCs w:val="false"/>
                <w:sz w:val="20"/>
                <w:szCs w:val="20"/>
                <w:lang w:val="pt-BR"/>
              </w:rPr>
              <w:t>Delegacia</w:t>
            </w:r>
            <w:r>
              <w:rPr>
                <w:rFonts w:cs="Arial" w:ascii="Arial" w:hAnsi="Arial"/>
                <w:b/>
                <w:bCs/>
                <w:sz w:val="20"/>
                <w:szCs w:val="20"/>
                <w:lang w:val="pt-BR"/>
              </w:rPr>
              <w:t xml:space="preserve"> - 03</w:t>
            </w:r>
          </w:p>
        </w:tc>
      </w:tr>
      <w:tr>
        <w:trPr>
          <w:trHeight w:val="430" w:hRule="atLeast"/>
        </w:trPr>
        <w:tc>
          <w:tcPr>
            <w:tcW w:w="681" w:type="dxa"/>
            <w:vMerge w:val="continue"/>
            <w:tcBorders>
              <w:left w:val="single" w:sz="8" w:space="0" w:color="000000"/>
              <w:right w:val="single" w:sz="8" w:space="0" w:color="000000"/>
            </w:tcBorders>
          </w:tcPr>
          <w:p>
            <w:pPr>
              <w:pStyle w:val="Normal"/>
              <w:widowControl w:val="false"/>
              <w:snapToGrid w:val="false"/>
              <w:spacing w:before="0" w:after="160"/>
              <w:jc w:val="center"/>
              <w:rPr>
                <w:rFonts w:ascii="Arial" w:hAnsi="Arial" w:eastAsia="Times New Roman" w:cs="Arial"/>
                <w:b/>
                <w:b/>
                <w:bCs/>
                <w:color w:val="000000"/>
                <w:sz w:val="20"/>
                <w:szCs w:val="20"/>
                <w:lang w:val="en-US" w:eastAsia="pt-BR"/>
              </w:rPr>
            </w:pPr>
            <w:r>
              <w:rPr>
                <w:rFonts w:eastAsia="Times New Roman" w:cs="Arial" w:ascii="Arial" w:hAnsi="Arial"/>
                <w:b/>
                <w:bCs/>
                <w:color w:val="000000"/>
                <w:sz w:val="20"/>
                <w:szCs w:val="20"/>
                <w:lang w:val="en-US" w:eastAsia="pt-BR"/>
              </w:rPr>
            </w:r>
          </w:p>
        </w:tc>
        <w:tc>
          <w:tcPr>
            <w:tcW w:w="685" w:type="dxa"/>
            <w:tcBorders>
              <w:left w:val="single" w:sz="8" w:space="0" w:color="000000"/>
              <w:bottom w:val="single" w:sz="4" w:space="0" w:color="000000"/>
              <w:right w:val="single" w:sz="8" w:space="0" w:color="000000"/>
            </w:tcBorders>
            <w:vAlign w:val="center"/>
          </w:tcPr>
          <w:p>
            <w:pPr>
              <w:pStyle w:val="Normal"/>
              <w:widowControl w:val="false"/>
              <w:spacing w:before="0" w:after="160"/>
              <w:jc w:val="center"/>
              <w:rPr>
                <w:rFonts w:ascii="Arial" w:hAnsi="Arial" w:eastAsia="Times New Roman" w:cs="Arial"/>
                <w:b/>
                <w:b/>
                <w:bCs/>
                <w:color w:val="000000"/>
                <w:sz w:val="20"/>
                <w:szCs w:val="20"/>
                <w:lang w:val="en-US" w:eastAsia="pt-BR"/>
              </w:rPr>
            </w:pPr>
            <w:r>
              <w:rPr>
                <w:rFonts w:eastAsia="Times New Roman" w:cs="Arial" w:ascii="Arial" w:hAnsi="Arial"/>
                <w:b/>
                <w:bCs/>
                <w:color w:val="000000"/>
                <w:sz w:val="20"/>
                <w:szCs w:val="20"/>
                <w:lang w:val="en-US" w:eastAsia="pt-BR"/>
              </w:rPr>
              <w:t>02</w:t>
            </w:r>
          </w:p>
        </w:tc>
        <w:tc>
          <w:tcPr>
            <w:tcW w:w="634" w:type="dxa"/>
            <w:tcBorders>
              <w:bottom w:val="single" w:sz="4" w:space="0" w:color="000000"/>
              <w:right w:val="single" w:sz="8" w:space="0" w:color="000000"/>
            </w:tcBorders>
            <w:vAlign w:val="center"/>
          </w:tcPr>
          <w:p>
            <w:pPr>
              <w:pStyle w:val="Normal"/>
              <w:widowControl w:val="false"/>
              <w:spacing w:before="0" w:after="160"/>
              <w:jc w:val="center"/>
              <w:rPr>
                <w:rFonts w:ascii="Arial" w:hAnsi="Arial" w:cs="Arial"/>
                <w:sz w:val="20"/>
                <w:szCs w:val="20"/>
                <w:lang w:val="pt-BR"/>
              </w:rPr>
            </w:pPr>
            <w:r>
              <w:rPr>
                <w:rFonts w:cs="Arial" w:ascii="Arial" w:hAnsi="Arial"/>
                <w:sz w:val="20"/>
                <w:szCs w:val="20"/>
                <w:lang w:val="pt-BR"/>
              </w:rPr>
              <w:t>40</w:t>
            </w:r>
          </w:p>
        </w:tc>
        <w:tc>
          <w:tcPr>
            <w:tcW w:w="2558" w:type="dxa"/>
            <w:tcBorders>
              <w:bottom w:val="single" w:sz="4" w:space="0" w:color="000000"/>
              <w:right w:val="single" w:sz="8" w:space="0" w:color="000000"/>
            </w:tcBorders>
            <w:vAlign w:val="center"/>
          </w:tcPr>
          <w:p>
            <w:pPr>
              <w:pStyle w:val="Normal"/>
              <w:widowControl w:val="false"/>
              <w:snapToGrid w:val="false"/>
              <w:spacing w:before="0" w:after="160"/>
              <w:rPr/>
            </w:pPr>
            <w:r>
              <w:rPr>
                <w:rFonts w:cs="Arial" w:ascii="Arial" w:hAnsi="Arial"/>
                <w:sz w:val="20"/>
                <w:szCs w:val="20"/>
              </w:rPr>
              <w:t>Gás de cozinha de (GLP) 45kg</w:t>
            </w:r>
            <w:r>
              <w:rPr>
                <w:rFonts w:eastAsia="Arial" w:cs="Arial" w:ascii="Arial" w:hAnsi="Arial"/>
                <w:sz w:val="20"/>
                <w:szCs w:val="20"/>
                <w:lang w:bidi="hi-IN"/>
              </w:rPr>
              <w:t xml:space="preserve"> (carga)</w:t>
            </w:r>
          </w:p>
        </w:tc>
        <w:tc>
          <w:tcPr>
            <w:tcW w:w="1527" w:type="dxa"/>
            <w:tcBorders>
              <w:bottom w:val="single" w:sz="4" w:space="0" w:color="000000"/>
              <w:right w:val="single" w:sz="4" w:space="0" w:color="000000"/>
            </w:tcBorders>
          </w:tcPr>
          <w:p>
            <w:pPr>
              <w:pStyle w:val="Contedodatabela"/>
              <w:widowControl w:val="false"/>
              <w:snapToGrid w:val="false"/>
              <w:spacing w:lineRule="auto" w:line="276"/>
              <w:jc w:val="right"/>
              <w:rPr>
                <w:rFonts w:ascii="Arial" w:hAnsi="Arial" w:cs="Arial"/>
                <w:sz w:val="20"/>
                <w:szCs w:val="20"/>
              </w:rPr>
            </w:pPr>
            <w:r>
              <w:rPr>
                <w:rFonts w:cs="Arial"/>
                <w:sz w:val="20"/>
                <w:szCs w:val="20"/>
              </w:rPr>
            </w:r>
          </w:p>
          <w:p>
            <w:pPr>
              <w:pStyle w:val="Contedodatabela"/>
              <w:widowControl w:val="false"/>
              <w:spacing w:lineRule="auto" w:line="276"/>
              <w:jc w:val="right"/>
              <w:rPr>
                <w:rFonts w:ascii="Arial" w:hAnsi="Arial" w:cs="Arial"/>
                <w:sz w:val="20"/>
                <w:szCs w:val="20"/>
              </w:rPr>
            </w:pPr>
            <w:r>
              <w:rPr>
                <w:rFonts w:cs="Arial"/>
                <w:sz w:val="20"/>
                <w:szCs w:val="20"/>
              </w:rPr>
              <w:t>430,00</w:t>
            </w:r>
          </w:p>
        </w:tc>
        <w:tc>
          <w:tcPr>
            <w:tcW w:w="1270" w:type="dxa"/>
            <w:tcBorders>
              <w:left w:val="single" w:sz="4" w:space="0" w:color="000000"/>
              <w:bottom w:val="single" w:sz="4" w:space="0" w:color="000000"/>
              <w:right w:val="single" w:sz="8" w:space="0" w:color="000000"/>
            </w:tcBorders>
            <w:vAlign w:val="center"/>
          </w:tcPr>
          <w:p>
            <w:pPr>
              <w:pStyle w:val="Normal"/>
              <w:widowControl w:val="false"/>
              <w:spacing w:before="0" w:after="160"/>
              <w:jc w:val="right"/>
              <w:rPr/>
            </w:pPr>
            <w:r>
              <w:rPr>
                <w:rFonts w:cs="Arial" w:ascii="Arial" w:hAnsi="Arial"/>
                <w:sz w:val="20"/>
                <w:szCs w:val="20"/>
                <w:lang w:val="pt-BR"/>
              </w:rPr>
              <w:t>17.2</w:t>
            </w:r>
            <w:r>
              <w:rPr>
                <w:rFonts w:cs="Arial" w:ascii="Arial" w:hAnsi="Arial"/>
                <w:sz w:val="20"/>
                <w:szCs w:val="20"/>
              </w:rPr>
              <w:t>00,00</w:t>
            </w:r>
          </w:p>
        </w:tc>
        <w:tc>
          <w:tcPr>
            <w:tcW w:w="2098" w:type="dxa"/>
            <w:tcBorders>
              <w:bottom w:val="single" w:sz="8" w:space="0" w:color="000000"/>
              <w:right w:val="single" w:sz="8" w:space="0" w:color="000000"/>
            </w:tcBorders>
            <w:vAlign w:val="center"/>
          </w:tcPr>
          <w:p>
            <w:pPr>
              <w:pStyle w:val="Contedodatabela"/>
              <w:widowControl w:val="false"/>
              <w:snapToGrid w:val="false"/>
              <w:spacing w:lineRule="auto" w:line="276"/>
              <w:jc w:val="right"/>
              <w:rPr>
                <w:rFonts w:ascii="Arial" w:hAnsi="Arial" w:cs="Arial"/>
                <w:sz w:val="20"/>
                <w:szCs w:val="20"/>
              </w:rPr>
            </w:pPr>
            <w:r>
              <w:rPr>
                <w:rFonts w:cs="Arial"/>
                <w:sz w:val="20"/>
                <w:szCs w:val="20"/>
              </w:rPr>
              <w:t xml:space="preserve">Fundamental - </w:t>
            </w:r>
            <w:r>
              <w:rPr>
                <w:rFonts w:cs="Arial"/>
                <w:b/>
                <w:bCs/>
                <w:sz w:val="20"/>
                <w:szCs w:val="20"/>
                <w:lang w:val="pt-BR"/>
              </w:rPr>
              <w:t>20</w:t>
            </w:r>
          </w:p>
          <w:p>
            <w:pPr>
              <w:pStyle w:val="Contedodatabela"/>
              <w:widowControl w:val="false"/>
              <w:snapToGrid w:val="false"/>
              <w:spacing w:lineRule="auto" w:line="276"/>
              <w:jc w:val="right"/>
              <w:rPr>
                <w:rFonts w:ascii="Arial" w:hAnsi="Arial" w:cs="Arial"/>
                <w:sz w:val="20"/>
                <w:szCs w:val="20"/>
              </w:rPr>
            </w:pPr>
            <w:r>
              <w:rPr>
                <w:rFonts w:cs="Arial"/>
                <w:sz w:val="20"/>
                <w:szCs w:val="20"/>
              </w:rPr>
              <w:t xml:space="preserve">Infantil - </w:t>
            </w:r>
            <w:r>
              <w:rPr>
                <w:rFonts w:cs="Arial"/>
                <w:b/>
                <w:bCs/>
                <w:sz w:val="20"/>
                <w:szCs w:val="20"/>
              </w:rPr>
              <w:t>0</w:t>
            </w:r>
            <w:r>
              <w:rPr>
                <w:rFonts w:cs="Arial"/>
                <w:b/>
                <w:bCs/>
                <w:sz w:val="20"/>
                <w:szCs w:val="20"/>
                <w:lang w:val="pt-BR"/>
              </w:rPr>
              <w:t>9</w:t>
            </w:r>
          </w:p>
          <w:p>
            <w:pPr>
              <w:pStyle w:val="Normal"/>
              <w:widowControl w:val="false"/>
              <w:spacing w:before="0" w:after="160"/>
              <w:jc w:val="right"/>
              <w:rPr/>
            </w:pPr>
            <w:r>
              <w:rPr>
                <w:rFonts w:cs="Arial" w:ascii="Arial" w:hAnsi="Arial"/>
                <w:sz w:val="20"/>
                <w:szCs w:val="20"/>
              </w:rPr>
              <w:t>Creche -</w:t>
            </w:r>
            <w:r>
              <w:rPr>
                <w:rFonts w:cs="Arial" w:ascii="Arial" w:hAnsi="Arial"/>
                <w:b/>
                <w:bCs/>
                <w:sz w:val="20"/>
                <w:szCs w:val="20"/>
              </w:rPr>
              <w:t xml:space="preserve"> </w:t>
            </w:r>
            <w:r>
              <w:rPr>
                <w:rFonts w:cs="Arial" w:ascii="Arial" w:hAnsi="Arial"/>
                <w:b/>
                <w:bCs/>
                <w:sz w:val="20"/>
                <w:szCs w:val="20"/>
                <w:lang w:val="pt-BR"/>
              </w:rPr>
              <w:t>11</w:t>
            </w:r>
          </w:p>
        </w:tc>
      </w:tr>
      <w:tr>
        <w:trPr>
          <w:trHeight w:val="430" w:hRule="atLeast"/>
        </w:trPr>
        <w:tc>
          <w:tcPr>
            <w:tcW w:w="681" w:type="dxa"/>
            <w:tcBorders>
              <w:left w:val="single" w:sz="8" w:space="0" w:color="000000"/>
              <w:bottom w:val="single" w:sz="4" w:space="0" w:color="000000"/>
              <w:right w:val="single" w:sz="8" w:space="0" w:color="000000"/>
            </w:tcBorders>
          </w:tcPr>
          <w:p>
            <w:pPr>
              <w:pStyle w:val="Normal"/>
              <w:widowControl w:val="false"/>
              <w:snapToGrid w:val="false"/>
              <w:spacing w:before="0" w:after="160"/>
              <w:rPr>
                <w:rFonts w:ascii="Arial" w:hAnsi="Arial" w:cs="Arial"/>
                <w:sz w:val="20"/>
                <w:szCs w:val="20"/>
                <w:lang w:val="pt-BR"/>
              </w:rPr>
            </w:pPr>
            <w:r>
              <w:rPr>
                <w:rFonts w:cs="Arial" w:ascii="Arial" w:hAnsi="Arial"/>
                <w:sz w:val="20"/>
                <w:szCs w:val="20"/>
                <w:lang w:val="pt-BR"/>
              </w:rPr>
            </w:r>
          </w:p>
        </w:tc>
        <w:tc>
          <w:tcPr>
            <w:tcW w:w="3877" w:type="dxa"/>
            <w:gridSpan w:val="3"/>
            <w:tcBorders>
              <w:left w:val="single" w:sz="8" w:space="0" w:color="000000"/>
              <w:bottom w:val="single" w:sz="4" w:space="0" w:color="000000"/>
              <w:right w:val="single" w:sz="8" w:space="0" w:color="000000"/>
            </w:tcBorders>
            <w:vAlign w:val="center"/>
          </w:tcPr>
          <w:p>
            <w:pPr>
              <w:pStyle w:val="Normal"/>
              <w:widowControl w:val="false"/>
              <w:snapToGrid w:val="false"/>
              <w:spacing w:before="0" w:after="160"/>
              <w:rPr>
                <w:rFonts w:ascii="Arial" w:hAnsi="Arial" w:cs="Arial"/>
                <w:sz w:val="20"/>
                <w:szCs w:val="20"/>
              </w:rPr>
            </w:pPr>
            <w:r>
              <w:rPr>
                <w:rFonts w:cs="Arial" w:ascii="Arial" w:hAnsi="Arial"/>
                <w:sz w:val="20"/>
                <w:szCs w:val="20"/>
              </w:rPr>
            </w:r>
          </w:p>
        </w:tc>
        <w:tc>
          <w:tcPr>
            <w:tcW w:w="1527" w:type="dxa"/>
            <w:tcBorders>
              <w:bottom w:val="single" w:sz="4" w:space="0" w:color="000000"/>
              <w:right w:val="single" w:sz="4" w:space="0" w:color="000000"/>
            </w:tcBorders>
          </w:tcPr>
          <w:p>
            <w:pPr>
              <w:pStyle w:val="Contedodatabela"/>
              <w:widowControl w:val="false"/>
              <w:spacing w:lineRule="auto" w:line="276"/>
              <w:rPr>
                <w:rFonts w:ascii="Arial" w:hAnsi="Arial" w:eastAsia="Times New Roman" w:cs="Arial"/>
                <w:b/>
                <w:b/>
                <w:bCs/>
                <w:color w:val="000000"/>
                <w:sz w:val="20"/>
                <w:szCs w:val="20"/>
                <w:lang w:eastAsia="pt-BR"/>
              </w:rPr>
            </w:pPr>
            <w:r>
              <w:rPr>
                <w:rFonts w:eastAsia="Times New Roman" w:cs="Arial"/>
                <w:b/>
                <w:bCs/>
                <w:color w:val="000000"/>
                <w:sz w:val="20"/>
                <w:szCs w:val="20"/>
                <w:lang w:eastAsia="pt-BR"/>
              </w:rPr>
              <w:t>VALOR TOTAL DA CONTR.</w:t>
            </w:r>
          </w:p>
        </w:tc>
        <w:tc>
          <w:tcPr>
            <w:tcW w:w="1270" w:type="dxa"/>
            <w:tcBorders>
              <w:left w:val="single" w:sz="4" w:space="0" w:color="000000"/>
              <w:bottom w:val="single" w:sz="4" w:space="0" w:color="000000"/>
              <w:right w:val="single" w:sz="8" w:space="0" w:color="000000"/>
            </w:tcBorders>
            <w:vAlign w:val="center"/>
          </w:tcPr>
          <w:p>
            <w:pPr>
              <w:pStyle w:val="Normal"/>
              <w:widowControl w:val="false"/>
              <w:spacing w:before="0" w:after="160"/>
              <w:jc w:val="right"/>
              <w:rPr/>
            </w:pPr>
            <w:r>
              <w:rPr>
                <w:rFonts w:cs="Arial" w:ascii="Arial" w:hAnsi="Arial"/>
                <w:b/>
                <w:bCs/>
                <w:sz w:val="20"/>
                <w:szCs w:val="20"/>
                <w:lang w:val="pt-BR"/>
              </w:rPr>
              <w:t>28.36</w:t>
            </w:r>
            <w:r>
              <w:rPr>
                <w:rFonts w:cs="Arial" w:ascii="Arial" w:hAnsi="Arial"/>
                <w:b/>
                <w:bCs/>
                <w:sz w:val="20"/>
                <w:szCs w:val="20"/>
              </w:rPr>
              <w:t>0,00</w:t>
            </w:r>
          </w:p>
        </w:tc>
        <w:tc>
          <w:tcPr>
            <w:tcW w:w="2098" w:type="dxa"/>
            <w:tcBorders>
              <w:bottom w:val="single" w:sz="8" w:space="0" w:color="000000"/>
              <w:right w:val="single" w:sz="8" w:space="0" w:color="000000"/>
            </w:tcBorders>
            <w:vAlign w:val="center"/>
          </w:tcPr>
          <w:p>
            <w:pPr>
              <w:pStyle w:val="Normal"/>
              <w:widowControl w:val="false"/>
              <w:snapToGrid w:val="false"/>
              <w:spacing w:before="0" w:after="160"/>
              <w:jc w:val="right"/>
              <w:rPr>
                <w:rFonts w:ascii="Arial" w:hAnsi="Arial" w:cs="Arial"/>
                <w:sz w:val="20"/>
                <w:szCs w:val="20"/>
              </w:rPr>
            </w:pPr>
            <w:r>
              <w:rPr>
                <w:rFonts w:cs="Arial" w:ascii="Arial" w:hAnsi="Arial"/>
                <w:sz w:val="20"/>
                <w:szCs w:val="20"/>
              </w:rPr>
            </w:r>
          </w:p>
        </w:tc>
      </w:tr>
    </w:tbl>
    <w:p>
      <w:pPr>
        <w:pStyle w:val="Normal"/>
        <w:tabs>
          <w:tab w:val="clear" w:pos="708"/>
          <w:tab w:val="left" w:pos="2340" w:leader="none"/>
          <w:tab w:val="left" w:pos="4464" w:leader="none"/>
        </w:tabs>
        <w:spacing w:lineRule="auto" w:line="360"/>
        <w:ind w:firstLine="709"/>
        <w:jc w:val="both"/>
        <w:rPr/>
      </w:pPr>
      <w:r>
        <w:rPr/>
      </w:r>
    </w:p>
    <w:p>
      <w:pPr>
        <w:pStyle w:val="ListParagraph"/>
        <w:numPr>
          <w:ilvl w:val="0"/>
          <w:numId w:val="1"/>
        </w:numPr>
        <w:tabs>
          <w:tab w:val="clear" w:pos="708"/>
          <w:tab w:val="left" w:pos="0" w:leader="none"/>
        </w:tabs>
        <w:spacing w:lineRule="auto" w:line="360" w:before="140" w:after="140"/>
        <w:contextualSpacing/>
        <w:rPr>
          <w:b/>
          <w:b/>
        </w:rPr>
      </w:pPr>
      <w:r>
        <w:rPr>
          <w:b/>
        </w:rPr>
        <w:t>ADEQUAÇÃO ORÇAMENTÁRIA</w:t>
      </w:r>
    </w:p>
    <w:p>
      <w:pPr>
        <w:pStyle w:val="Normal"/>
        <w:tabs>
          <w:tab w:val="clear" w:pos="708"/>
          <w:tab w:val="left" w:pos="709" w:leader="none"/>
          <w:tab w:val="left" w:pos="4464" w:leader="none"/>
        </w:tabs>
        <w:spacing w:lineRule="auto" w:line="360" w:before="142" w:after="142"/>
        <w:jc w:val="both"/>
        <w:rPr/>
      </w:pPr>
      <w:r>
        <w:rPr>
          <w:bCs/>
        </w:rPr>
        <w:tab/>
      </w:r>
      <w:r>
        <w:rPr>
          <w:bCs/>
          <w:sz w:val="21"/>
          <w:szCs w:val="21"/>
        </w:rPr>
        <w:t>A(s) despesa(s) decorrente(s) do fornecimento do objeto da presente licitação, correrão à conta da(s) seguinte(s) Dotação(ões) orçamentária(s), prevista(s) na Lei de Diretrizes Orçamentárias do Exercício de 2025, com a seguinte classificação e valores, conforme demonstrativo acostado em anexo a este Termo de Referência e colacionado abaixo:</w:t>
      </w:r>
    </w:p>
    <w:p>
      <w:pPr>
        <w:pStyle w:val="Normal"/>
        <w:suppressAutoHyphens w:val="false"/>
        <w:spacing w:lineRule="auto" w:line="360"/>
        <w:ind w:right="-1" w:hanging="0"/>
        <w:rPr>
          <w:rFonts w:eastAsia="Times New Roman"/>
          <w:b/>
          <w:b/>
          <w:bCs/>
          <w:color w:val="000000"/>
          <w:sz w:val="21"/>
          <w:szCs w:val="21"/>
          <w:lang w:eastAsia="pt-BR"/>
        </w:rPr>
      </w:pPr>
      <w:r>
        <w:rPr>
          <w:rFonts w:eastAsia="Times New Roman"/>
          <w:b/>
          <w:bCs/>
          <w:color w:val="000000"/>
          <w:sz w:val="21"/>
          <w:szCs w:val="21"/>
          <w:lang w:eastAsia="pt-BR"/>
        </w:rPr>
        <w:t>Entidade: FUNDO MUNICIPAL DE SAÚDE DE LINDÓIA DO SUL</w:t>
      </w:r>
    </w:p>
    <w:p>
      <w:pPr>
        <w:pStyle w:val="Normal"/>
        <w:suppressAutoHyphens w:val="false"/>
        <w:spacing w:lineRule="auto" w:line="360"/>
        <w:ind w:right="-1" w:hanging="0"/>
        <w:rPr/>
      </w:pPr>
      <w:r>
        <w:rPr>
          <w:rFonts w:eastAsia="NSimSun"/>
          <w:b/>
          <w:bCs/>
          <w:kern w:val="2"/>
          <w:sz w:val="21"/>
          <w:szCs w:val="21"/>
        </w:rPr>
        <w:t>Órgão/Unidade:</w:t>
      </w:r>
      <w:r>
        <w:rPr>
          <w:rFonts w:eastAsia="NSimSun"/>
          <w:kern w:val="2"/>
          <w:sz w:val="21"/>
          <w:szCs w:val="21"/>
        </w:rPr>
        <w:t xml:space="preserve"> 10.001 – Fundo Municipal de Saúde Lindoia do Sul</w:t>
        <w:br/>
      </w:r>
      <w:r>
        <w:rPr>
          <w:rFonts w:eastAsia="NSimSun"/>
          <w:b/>
          <w:bCs/>
          <w:kern w:val="2"/>
          <w:sz w:val="21"/>
          <w:szCs w:val="21"/>
        </w:rPr>
        <w:t>Proj/ Ativ.:</w:t>
      </w:r>
      <w:r>
        <w:rPr>
          <w:rFonts w:eastAsia="NSimSun"/>
          <w:kern w:val="2"/>
          <w:sz w:val="21"/>
          <w:szCs w:val="21"/>
        </w:rPr>
        <w:t xml:space="preserve"> 2.028 – Manutenção das Atividades da Saúde Pública</w:t>
      </w:r>
    </w:p>
    <w:p>
      <w:pPr>
        <w:pStyle w:val="Normal"/>
        <w:suppressAutoHyphens w:val="false"/>
        <w:spacing w:lineRule="auto" w:line="360"/>
        <w:ind w:right="-1" w:hanging="0"/>
        <w:rPr/>
      </w:pPr>
      <w:r>
        <w:rPr>
          <w:rFonts w:eastAsia="NSimSun"/>
          <w:b/>
          <w:bCs/>
          <w:kern w:val="2"/>
          <w:sz w:val="21"/>
          <w:szCs w:val="21"/>
        </w:rPr>
        <w:t>Elemento:</w:t>
      </w:r>
      <w:r>
        <w:rPr>
          <w:rFonts w:eastAsia="NSimSun"/>
          <w:kern w:val="2"/>
          <w:sz w:val="21"/>
          <w:szCs w:val="21"/>
        </w:rPr>
        <w:t xml:space="preserve"> 3.3.90.00.00.00.00.00 – Aplicações Diretas</w:t>
      </w:r>
    </w:p>
    <w:p>
      <w:pPr>
        <w:pStyle w:val="Normal"/>
        <w:suppressAutoHyphens w:val="false"/>
        <w:spacing w:lineRule="auto" w:line="360"/>
        <w:ind w:right="-1" w:hanging="0"/>
        <w:rPr/>
      </w:pPr>
      <w:r>
        <w:rPr>
          <w:rFonts w:eastAsia="NSimSun"/>
          <w:b/>
          <w:bCs/>
          <w:kern w:val="2"/>
          <w:sz w:val="21"/>
          <w:szCs w:val="21"/>
        </w:rPr>
        <w:t>Recurso:</w:t>
      </w:r>
      <w:r>
        <w:rPr>
          <w:rFonts w:eastAsia="NSimSun"/>
          <w:kern w:val="2"/>
          <w:sz w:val="21"/>
          <w:szCs w:val="21"/>
        </w:rPr>
        <w:t xml:space="preserve"> 1.500.1002.0002 - Receita de Impostos e Transf. De Impostos – Saúde - </w:t>
      </w:r>
      <w:r>
        <w:rPr>
          <w:rFonts w:eastAsia="NSimSun"/>
          <w:b/>
          <w:bCs/>
          <w:kern w:val="2"/>
          <w:sz w:val="21"/>
          <w:szCs w:val="21"/>
        </w:rPr>
        <w:t>R$</w:t>
      </w:r>
      <w:r>
        <w:rPr>
          <w:rFonts w:eastAsia="NSimSun"/>
          <w:b/>
          <w:bCs/>
          <w:kern w:val="2"/>
          <w:sz w:val="21"/>
          <w:szCs w:val="21"/>
          <w:lang w:val="pt-BR"/>
        </w:rPr>
        <w:t xml:space="preserve"> 1.560,00</w:t>
      </w:r>
      <w:r>
        <w:rPr>
          <w:rFonts w:eastAsia="NSimSun"/>
          <w:b/>
          <w:bCs/>
          <w:kern w:val="2"/>
          <w:sz w:val="21"/>
          <w:szCs w:val="21"/>
        </w:rPr>
        <w:t xml:space="preserve"> .</w:t>
      </w:r>
    </w:p>
    <w:p>
      <w:pPr>
        <w:pStyle w:val="Normal"/>
        <w:suppressAutoHyphens w:val="false"/>
        <w:spacing w:lineRule="auto" w:line="360"/>
        <w:ind w:right="-1" w:hanging="0"/>
        <w:rPr>
          <w:rFonts w:eastAsia="Times New Roman"/>
          <w:b/>
          <w:b/>
          <w:bCs/>
          <w:color w:val="000000"/>
          <w:sz w:val="21"/>
          <w:szCs w:val="21"/>
          <w:u w:val="single"/>
          <w:lang w:eastAsia="pt-BR"/>
        </w:rPr>
      </w:pPr>
      <w:r>
        <w:rPr>
          <w:rFonts w:eastAsia="Times New Roman"/>
          <w:b/>
          <w:bCs/>
          <w:color w:val="000000"/>
          <w:sz w:val="21"/>
          <w:szCs w:val="21"/>
          <w:u w:val="single"/>
          <w:lang w:eastAsia="pt-BR"/>
        </w:rPr>
      </w:r>
    </w:p>
    <w:p>
      <w:pPr>
        <w:pStyle w:val="Normal"/>
        <w:suppressAutoHyphens w:val="false"/>
        <w:spacing w:lineRule="auto" w:line="360"/>
        <w:ind w:right="-1" w:hanging="0"/>
        <w:rPr/>
      </w:pPr>
      <w:r>
        <w:rPr>
          <w:rFonts w:eastAsia="Times New Roman"/>
          <w:b/>
          <w:bCs/>
          <w:color w:val="000000"/>
          <w:sz w:val="21"/>
          <w:szCs w:val="21"/>
          <w:lang w:eastAsia="pt-BR"/>
        </w:rPr>
        <w:t xml:space="preserve">Entidade: </w:t>
      </w:r>
      <w:r>
        <w:rPr>
          <w:rFonts w:eastAsia="Times New Roman"/>
          <w:b/>
          <w:bCs/>
          <w:color w:val="000000"/>
          <w:sz w:val="21"/>
          <w:szCs w:val="21"/>
          <w:lang w:val="en-US" w:eastAsia="pt-BR"/>
        </w:rPr>
        <w:t xml:space="preserve">PREFEITURA </w:t>
      </w:r>
      <w:r>
        <w:rPr>
          <w:rFonts w:eastAsia="Times New Roman"/>
          <w:b/>
          <w:bCs/>
          <w:color w:val="000000"/>
          <w:sz w:val="21"/>
          <w:szCs w:val="21"/>
          <w:lang w:eastAsia="pt-BR"/>
        </w:rPr>
        <w:t>DE LINDÓIA DO SUL</w:t>
      </w:r>
    </w:p>
    <w:p>
      <w:pPr>
        <w:pStyle w:val="Normal"/>
        <w:suppressAutoHyphens w:val="false"/>
        <w:spacing w:lineRule="auto" w:line="360"/>
        <w:ind w:right="-1" w:hanging="0"/>
        <w:rPr/>
      </w:pPr>
      <w:r>
        <w:rPr>
          <w:rFonts w:eastAsia="NSimSun"/>
          <w:b/>
          <w:bCs/>
          <w:kern w:val="2"/>
          <w:sz w:val="21"/>
          <w:szCs w:val="21"/>
        </w:rPr>
        <w:t>Órgão/Unidade:</w:t>
      </w:r>
      <w:r>
        <w:rPr>
          <w:rFonts w:eastAsia="NSimSun"/>
          <w:kern w:val="2"/>
          <w:sz w:val="21"/>
          <w:szCs w:val="21"/>
        </w:rPr>
        <w:t xml:space="preserve"> 4.122 – Administração/Administração Geral</w:t>
        <w:br/>
      </w:r>
      <w:r>
        <w:rPr>
          <w:rFonts w:eastAsia="NSimSun"/>
          <w:b/>
          <w:bCs/>
          <w:kern w:val="2"/>
          <w:sz w:val="21"/>
          <w:szCs w:val="21"/>
        </w:rPr>
        <w:t>Proj/ Ativ.:</w:t>
      </w:r>
      <w:r>
        <w:rPr>
          <w:rFonts w:eastAsia="NSimSun"/>
          <w:kern w:val="2"/>
          <w:sz w:val="21"/>
          <w:szCs w:val="21"/>
        </w:rPr>
        <w:t xml:space="preserve"> 2.003 – Manutenção da Secretária de Administração e Finanças.</w:t>
      </w:r>
    </w:p>
    <w:p>
      <w:pPr>
        <w:pStyle w:val="Normal"/>
        <w:suppressAutoHyphens w:val="false"/>
        <w:spacing w:lineRule="auto" w:line="360"/>
        <w:ind w:right="-1" w:hanging="0"/>
        <w:rPr/>
      </w:pPr>
      <w:r>
        <w:rPr>
          <w:rFonts w:eastAsia="NSimSun"/>
          <w:b/>
          <w:bCs/>
          <w:kern w:val="2"/>
          <w:sz w:val="21"/>
          <w:szCs w:val="21"/>
        </w:rPr>
        <w:t>Elemento:</w:t>
      </w:r>
      <w:r>
        <w:rPr>
          <w:rFonts w:eastAsia="NSimSun"/>
          <w:kern w:val="2"/>
          <w:sz w:val="21"/>
          <w:szCs w:val="21"/>
        </w:rPr>
        <w:t xml:space="preserve"> 3.3.90.00.00.00.00.00 – Aplicações Diretas</w:t>
      </w:r>
    </w:p>
    <w:p>
      <w:pPr>
        <w:pStyle w:val="Normal"/>
        <w:suppressAutoHyphens w:val="false"/>
        <w:spacing w:lineRule="auto" w:line="360"/>
        <w:ind w:right="-1" w:hanging="0"/>
        <w:rPr/>
      </w:pPr>
      <w:r>
        <w:rPr>
          <w:rFonts w:eastAsia="NSimSun"/>
          <w:b/>
          <w:bCs/>
          <w:kern w:val="2"/>
          <w:sz w:val="21"/>
          <w:szCs w:val="21"/>
        </w:rPr>
        <w:t>Recurso:</w:t>
      </w:r>
      <w:r>
        <w:rPr>
          <w:rFonts w:eastAsia="NSimSun"/>
          <w:kern w:val="2"/>
          <w:sz w:val="21"/>
          <w:szCs w:val="21"/>
        </w:rPr>
        <w:t xml:space="preserve"> </w:t>
      </w:r>
      <w:r>
        <w:rPr>
          <w:rFonts w:eastAsia="NSimSun"/>
          <w:kern w:val="2"/>
          <w:sz w:val="21"/>
          <w:szCs w:val="21"/>
          <w:lang w:val="pt-BR"/>
        </w:rPr>
        <w:t>1.500</w:t>
      </w:r>
      <w:r>
        <w:rPr>
          <w:rFonts w:eastAsia="NSimSun"/>
          <w:kern w:val="2"/>
          <w:sz w:val="21"/>
          <w:szCs w:val="21"/>
        </w:rPr>
        <w:t xml:space="preserve">.0000.0104 - Compensação ICMS - LC nº 194/2022 - </w:t>
      </w:r>
      <w:r>
        <w:rPr>
          <w:rFonts w:eastAsia="NSimSun"/>
          <w:b/>
          <w:bCs/>
          <w:kern w:val="2"/>
          <w:sz w:val="21"/>
          <w:szCs w:val="21"/>
        </w:rPr>
        <w:t xml:space="preserve">R$ </w:t>
      </w:r>
      <w:r>
        <w:rPr>
          <w:rFonts w:eastAsia="NSimSun"/>
          <w:b/>
          <w:bCs/>
          <w:kern w:val="2"/>
          <w:sz w:val="21"/>
          <w:szCs w:val="21"/>
          <w:lang w:val="pt-BR"/>
        </w:rPr>
        <w:t>1.920,00</w:t>
      </w:r>
      <w:r>
        <w:rPr>
          <w:rFonts w:eastAsia="NSimSun"/>
          <w:b/>
          <w:bCs/>
          <w:kern w:val="2"/>
          <w:sz w:val="21"/>
          <w:szCs w:val="21"/>
        </w:rPr>
        <w:t>.</w:t>
      </w:r>
    </w:p>
    <w:p>
      <w:pPr>
        <w:pStyle w:val="Normal"/>
        <w:suppressAutoHyphens w:val="false"/>
        <w:spacing w:lineRule="auto" w:line="360"/>
        <w:ind w:right="-1" w:hanging="0"/>
        <w:rPr>
          <w:rFonts w:eastAsia="NSimSun"/>
          <w:kern w:val="2"/>
          <w:sz w:val="21"/>
          <w:szCs w:val="21"/>
        </w:rPr>
      </w:pPr>
      <w:r>
        <w:rPr>
          <w:rFonts w:eastAsia="NSimSun"/>
          <w:kern w:val="2"/>
          <w:sz w:val="21"/>
          <w:szCs w:val="21"/>
        </w:rPr>
      </w:r>
    </w:p>
    <w:p>
      <w:pPr>
        <w:pStyle w:val="Normal"/>
        <w:suppressAutoHyphens w:val="false"/>
        <w:spacing w:lineRule="auto" w:line="360"/>
        <w:ind w:right="-1" w:hanging="0"/>
        <w:rPr/>
      </w:pPr>
      <w:r>
        <w:rPr>
          <w:rFonts w:eastAsia="NSimSun"/>
          <w:b/>
          <w:bCs/>
          <w:kern w:val="2"/>
          <w:sz w:val="21"/>
          <w:szCs w:val="21"/>
        </w:rPr>
        <w:t xml:space="preserve">Entidade: </w:t>
      </w:r>
      <w:r>
        <w:rPr>
          <w:rFonts w:eastAsia="Times New Roman"/>
          <w:b/>
          <w:bCs/>
          <w:color w:val="000000"/>
          <w:sz w:val="21"/>
          <w:szCs w:val="21"/>
          <w:lang w:val="en-US" w:eastAsia="pt-BR"/>
        </w:rPr>
        <w:t xml:space="preserve">PREFEITURA </w:t>
      </w:r>
      <w:r>
        <w:rPr>
          <w:rFonts w:eastAsia="Times New Roman"/>
          <w:b/>
          <w:bCs/>
          <w:color w:val="000000"/>
          <w:sz w:val="21"/>
          <w:szCs w:val="21"/>
          <w:lang w:eastAsia="pt-BR"/>
        </w:rPr>
        <w:t>DE LINDÓIA DO SUL</w:t>
      </w:r>
    </w:p>
    <w:p>
      <w:pPr>
        <w:pStyle w:val="Normal"/>
        <w:suppressAutoHyphens w:val="false"/>
        <w:spacing w:lineRule="auto" w:line="360"/>
        <w:ind w:right="-1" w:hanging="0"/>
        <w:rPr/>
      </w:pPr>
      <w:r>
        <w:rPr>
          <w:rFonts w:eastAsia="NSimSun"/>
          <w:b/>
          <w:bCs/>
          <w:kern w:val="2"/>
          <w:sz w:val="21"/>
          <w:szCs w:val="21"/>
        </w:rPr>
        <w:t>Órgão/Unidade:</w:t>
      </w:r>
      <w:r>
        <w:rPr>
          <w:rFonts w:eastAsia="NSimSun"/>
          <w:kern w:val="2"/>
          <w:sz w:val="21"/>
          <w:szCs w:val="21"/>
        </w:rPr>
        <w:t xml:space="preserve"> 05.00</w:t>
      </w:r>
      <w:r>
        <w:rPr>
          <w:rFonts w:eastAsia="NSimSun"/>
          <w:kern w:val="2"/>
          <w:sz w:val="21"/>
          <w:szCs w:val="21"/>
          <w:lang w:val="pt-BR"/>
        </w:rPr>
        <w:t>2</w:t>
      </w:r>
      <w:r>
        <w:rPr>
          <w:rFonts w:eastAsia="NSimSun"/>
          <w:kern w:val="2"/>
          <w:sz w:val="21"/>
          <w:szCs w:val="21"/>
        </w:rPr>
        <w:t xml:space="preserve"> Secretaria Municipal de Assistência Social e Habitação / Fundo Municipal de Assistência Social</w:t>
      </w:r>
    </w:p>
    <w:p>
      <w:pPr>
        <w:pStyle w:val="Normal"/>
        <w:suppressAutoHyphens w:val="false"/>
        <w:spacing w:lineRule="auto" w:line="360"/>
        <w:ind w:right="-1" w:hanging="0"/>
        <w:rPr/>
      </w:pPr>
      <w:r>
        <w:rPr>
          <w:rFonts w:eastAsia="NSimSun"/>
          <w:b/>
          <w:bCs/>
          <w:kern w:val="2"/>
          <w:sz w:val="21"/>
          <w:szCs w:val="21"/>
        </w:rPr>
        <w:t>PROJ/ATIV.:</w:t>
      </w:r>
      <w:r>
        <w:rPr>
          <w:rFonts w:eastAsia="NSimSun"/>
          <w:kern w:val="2"/>
          <w:sz w:val="21"/>
          <w:szCs w:val="21"/>
        </w:rPr>
        <w:t xml:space="preserve"> 2.024 - Manutenção da Oferta da Proteção Social Básica</w:t>
      </w:r>
    </w:p>
    <w:p>
      <w:pPr>
        <w:pStyle w:val="Normal"/>
        <w:suppressAutoHyphens w:val="false"/>
        <w:spacing w:lineRule="auto" w:line="360"/>
        <w:ind w:right="-1" w:hanging="0"/>
        <w:rPr/>
      </w:pPr>
      <w:r>
        <w:rPr>
          <w:rFonts w:eastAsia="NSimSun"/>
          <w:b/>
          <w:bCs/>
          <w:kern w:val="2"/>
          <w:sz w:val="21"/>
          <w:szCs w:val="21"/>
        </w:rPr>
        <w:t>Recurso:</w:t>
      </w:r>
      <w:r>
        <w:rPr>
          <w:rFonts w:eastAsia="NSimSun"/>
          <w:kern w:val="2"/>
          <w:sz w:val="21"/>
          <w:szCs w:val="21"/>
        </w:rPr>
        <w:t xml:space="preserve"> 3.3.90.00.00.00.00.00 - APLICACOES DIRETAS 1.500.0000.0104 - RECURSOS ORDINÁRIOS - </w:t>
      </w:r>
      <w:r>
        <w:rPr>
          <w:rFonts w:eastAsia="NSimSun"/>
          <w:b/>
          <w:bCs/>
          <w:kern w:val="2"/>
          <w:sz w:val="21"/>
          <w:szCs w:val="21"/>
        </w:rPr>
        <w:t xml:space="preserve">R$ </w:t>
      </w:r>
      <w:r>
        <w:rPr>
          <w:rFonts w:eastAsia="NSimSun"/>
          <w:b/>
          <w:bCs/>
          <w:kern w:val="2"/>
          <w:sz w:val="21"/>
          <w:szCs w:val="21"/>
          <w:lang w:val="pt-BR"/>
        </w:rPr>
        <w:t>2.280</w:t>
      </w:r>
      <w:r>
        <w:rPr>
          <w:rFonts w:eastAsia="NSimSun"/>
          <w:b/>
          <w:bCs/>
          <w:kern w:val="2"/>
          <w:sz w:val="21"/>
          <w:szCs w:val="21"/>
        </w:rPr>
        <w:t>,00</w:t>
      </w:r>
    </w:p>
    <w:p>
      <w:pPr>
        <w:pStyle w:val="Normal"/>
        <w:suppressAutoHyphens w:val="false"/>
        <w:spacing w:lineRule="auto" w:line="360"/>
        <w:ind w:left="709" w:right="-1" w:hanging="0"/>
        <w:rPr>
          <w:rFonts w:eastAsia="NSimSun"/>
          <w:b/>
          <w:b/>
          <w:bCs/>
          <w:kern w:val="2"/>
          <w:sz w:val="21"/>
          <w:szCs w:val="21"/>
        </w:rPr>
      </w:pPr>
      <w:r>
        <w:rPr>
          <w:rFonts w:eastAsia="NSimSun"/>
          <w:b/>
          <w:bCs/>
          <w:kern w:val="2"/>
          <w:sz w:val="21"/>
          <w:szCs w:val="21"/>
        </w:rPr>
      </w:r>
    </w:p>
    <w:p>
      <w:pPr>
        <w:pStyle w:val="Normal"/>
        <w:suppressAutoHyphens w:val="false"/>
        <w:spacing w:lineRule="auto" w:line="360"/>
        <w:ind w:right="-1" w:hanging="0"/>
        <w:rPr/>
      </w:pPr>
      <w:r>
        <w:rPr>
          <w:rFonts w:eastAsia="NSimSun"/>
          <w:b/>
          <w:bCs/>
          <w:kern w:val="2"/>
          <w:sz w:val="21"/>
          <w:szCs w:val="21"/>
        </w:rPr>
        <w:t xml:space="preserve">Entidade: </w:t>
      </w:r>
      <w:r>
        <w:rPr>
          <w:rFonts w:eastAsia="Times New Roman"/>
          <w:b/>
          <w:bCs/>
          <w:color w:val="000000"/>
          <w:sz w:val="21"/>
          <w:szCs w:val="21"/>
          <w:lang w:val="en-US" w:eastAsia="pt-BR"/>
        </w:rPr>
        <w:t xml:space="preserve">PREFEITURA </w:t>
      </w:r>
      <w:r>
        <w:rPr>
          <w:rFonts w:eastAsia="Times New Roman"/>
          <w:b/>
          <w:bCs/>
          <w:color w:val="000000"/>
          <w:sz w:val="21"/>
          <w:szCs w:val="21"/>
          <w:lang w:eastAsia="pt-BR"/>
        </w:rPr>
        <w:t>DE LINDÓIA DO SUL</w:t>
      </w:r>
      <w:r>
        <w:rPr>
          <w:rFonts w:eastAsia="Times New Roman"/>
          <w:b/>
          <w:bCs/>
          <w:color w:val="000000"/>
          <w:sz w:val="21"/>
          <w:szCs w:val="21"/>
          <w:lang w:val="en-US" w:eastAsia="pt-BR"/>
        </w:rPr>
        <w:t xml:space="preserve">           </w:t>
      </w:r>
    </w:p>
    <w:p>
      <w:pPr>
        <w:pStyle w:val="Normal"/>
        <w:suppressAutoHyphens w:val="false"/>
        <w:spacing w:lineRule="auto" w:line="360"/>
        <w:ind w:right="-1" w:hanging="0"/>
        <w:rPr/>
      </w:pPr>
      <w:r>
        <w:rPr>
          <w:rFonts w:eastAsia="NSimSun"/>
          <w:b/>
          <w:bCs/>
          <w:kern w:val="2"/>
          <w:sz w:val="21"/>
          <w:szCs w:val="21"/>
        </w:rPr>
        <w:t>Órgão/Unidade:</w:t>
      </w:r>
      <w:r>
        <w:rPr>
          <w:rFonts w:eastAsia="NSimSun"/>
          <w:kern w:val="2"/>
          <w:sz w:val="21"/>
          <w:szCs w:val="21"/>
        </w:rPr>
        <w:t xml:space="preserve"> 06.002 SECRETARIA DE INFRAESTRUTURA E TRANSPORTES/DIRETORIA DE INFRAESTRUTURA E TRANSPORTES</w:t>
      </w:r>
    </w:p>
    <w:p>
      <w:pPr>
        <w:pStyle w:val="Normal"/>
        <w:suppressAutoHyphens w:val="false"/>
        <w:spacing w:lineRule="auto" w:line="360"/>
        <w:ind w:right="-1" w:hanging="0"/>
        <w:rPr/>
      </w:pPr>
      <w:r>
        <w:rPr>
          <w:rFonts w:eastAsia="NSimSun"/>
          <w:b/>
          <w:bCs/>
          <w:kern w:val="2"/>
          <w:sz w:val="21"/>
          <w:szCs w:val="21"/>
        </w:rPr>
        <w:t xml:space="preserve">PROJ/ATIV.: </w:t>
      </w:r>
      <w:r>
        <w:rPr>
          <w:rFonts w:eastAsia="NSimSun"/>
          <w:kern w:val="2"/>
          <w:sz w:val="21"/>
          <w:szCs w:val="21"/>
        </w:rPr>
        <w:t>2.007 MANUTENÇÃO DAS ATIVIDADES DA DIRETORIA DE INFRAESTRUTURA</w:t>
      </w:r>
    </w:p>
    <w:p>
      <w:pPr>
        <w:pStyle w:val="Normal"/>
        <w:suppressAutoHyphens w:val="false"/>
        <w:spacing w:lineRule="auto" w:line="360"/>
        <w:ind w:right="-1" w:hanging="0"/>
        <w:rPr/>
      </w:pPr>
      <w:r>
        <w:rPr>
          <w:rFonts w:eastAsia="NSimSun"/>
          <w:b/>
          <w:bCs/>
          <w:kern w:val="2"/>
          <w:sz w:val="21"/>
          <w:szCs w:val="21"/>
        </w:rPr>
        <w:t>Recurso:</w:t>
      </w:r>
      <w:r>
        <w:rPr>
          <w:rFonts w:eastAsia="NSimSun"/>
          <w:kern w:val="2"/>
          <w:sz w:val="21"/>
          <w:szCs w:val="21"/>
        </w:rPr>
        <w:t xml:space="preserve"> 3.3.90.00.00.00.00.00 Aplicações Diretas </w:t>
      </w:r>
      <w:r>
        <w:rPr>
          <w:rFonts w:eastAsia="NSimSun"/>
          <w:kern w:val="2"/>
          <w:sz w:val="21"/>
          <w:szCs w:val="21"/>
          <w:lang w:val="pt-BR"/>
        </w:rPr>
        <w:t>1</w:t>
      </w:r>
      <w:r>
        <w:rPr>
          <w:rFonts w:eastAsia="NSimSun"/>
          <w:kern w:val="2"/>
          <w:sz w:val="21"/>
          <w:szCs w:val="21"/>
        </w:rPr>
        <w:t>.500.0000.</w:t>
      </w:r>
      <w:r>
        <w:rPr>
          <w:rFonts w:eastAsia="NSimSun"/>
          <w:kern w:val="2"/>
          <w:sz w:val="21"/>
          <w:szCs w:val="21"/>
          <w:lang w:val="pt-BR"/>
        </w:rPr>
        <w:t>0104</w:t>
      </w:r>
      <w:r>
        <w:rPr>
          <w:rFonts w:eastAsia="NSimSun"/>
          <w:kern w:val="2"/>
          <w:sz w:val="21"/>
          <w:szCs w:val="21"/>
        </w:rPr>
        <w:t xml:space="preserve"> recursos ordinários</w:t>
      </w:r>
      <w:r>
        <w:rPr>
          <w:rFonts w:eastAsia="NSimSun"/>
          <w:kern w:val="2"/>
          <w:sz w:val="21"/>
          <w:szCs w:val="21"/>
          <w:lang w:val="pt-BR"/>
        </w:rPr>
        <w:t xml:space="preserve"> </w:t>
      </w:r>
      <w:r>
        <w:rPr>
          <w:rFonts w:eastAsia="NSimSun"/>
          <w:kern w:val="2"/>
          <w:sz w:val="21"/>
          <w:szCs w:val="21"/>
        </w:rPr>
        <w:t xml:space="preserve">- </w:t>
      </w:r>
      <w:r>
        <w:rPr>
          <w:rFonts w:eastAsia="NSimSun"/>
          <w:b/>
          <w:bCs/>
          <w:kern w:val="2"/>
          <w:sz w:val="21"/>
          <w:szCs w:val="21"/>
        </w:rPr>
        <w:t>R$</w:t>
      </w:r>
      <w:r>
        <w:rPr>
          <w:rFonts w:eastAsia="NSimSun"/>
          <w:b/>
          <w:bCs/>
          <w:kern w:val="2"/>
          <w:sz w:val="21"/>
          <w:szCs w:val="21"/>
          <w:lang w:val="pt-BR"/>
        </w:rPr>
        <w:t>1.320</w:t>
      </w:r>
      <w:r>
        <w:rPr>
          <w:rFonts w:eastAsia="NSimSun"/>
          <w:b/>
          <w:bCs/>
          <w:kern w:val="2"/>
          <w:sz w:val="21"/>
          <w:szCs w:val="21"/>
        </w:rPr>
        <w:t>,00</w:t>
      </w:r>
    </w:p>
    <w:p>
      <w:pPr>
        <w:pStyle w:val="Normal"/>
        <w:suppressAutoHyphens w:val="false"/>
        <w:spacing w:lineRule="auto" w:line="360"/>
        <w:ind w:left="709" w:right="-1" w:hanging="0"/>
        <w:rPr>
          <w:rFonts w:eastAsia="NSimSun"/>
          <w:b/>
          <w:b/>
          <w:bCs/>
          <w:kern w:val="2"/>
          <w:sz w:val="21"/>
          <w:szCs w:val="21"/>
        </w:rPr>
      </w:pPr>
      <w:r>
        <w:rPr>
          <w:rFonts w:eastAsia="NSimSun"/>
          <w:b/>
          <w:bCs/>
          <w:kern w:val="2"/>
          <w:sz w:val="21"/>
          <w:szCs w:val="21"/>
        </w:rPr>
      </w:r>
    </w:p>
    <w:p>
      <w:pPr>
        <w:pStyle w:val="Normal"/>
        <w:suppressAutoHyphens w:val="false"/>
        <w:spacing w:lineRule="auto" w:line="360"/>
        <w:ind w:right="-1" w:hanging="0"/>
        <w:rPr>
          <w:rFonts w:eastAsia="NSimSun"/>
          <w:b/>
          <w:b/>
          <w:bCs/>
          <w:kern w:val="2"/>
          <w:sz w:val="21"/>
          <w:szCs w:val="21"/>
        </w:rPr>
      </w:pPr>
      <w:r>
        <w:rPr>
          <w:rFonts w:eastAsia="NSimSun"/>
          <w:b/>
          <w:bCs/>
          <w:kern w:val="2"/>
          <w:sz w:val="21"/>
          <w:szCs w:val="21"/>
        </w:rPr>
        <w:t>Entidade: PREFEITURA MUNICIPAL DE LINDÓIA DO SUL</w:t>
      </w:r>
    </w:p>
    <w:p>
      <w:pPr>
        <w:pStyle w:val="Normal"/>
        <w:suppressAutoHyphens w:val="false"/>
        <w:spacing w:lineRule="auto" w:line="360"/>
        <w:ind w:right="-1" w:hanging="0"/>
        <w:rPr>
          <w:rFonts w:eastAsia="NSimSun"/>
          <w:kern w:val="2"/>
          <w:sz w:val="21"/>
          <w:szCs w:val="21"/>
        </w:rPr>
      </w:pPr>
      <w:r>
        <w:rPr>
          <w:rFonts w:eastAsia="NSimSun"/>
          <w:kern w:val="2"/>
          <w:sz w:val="21"/>
          <w:szCs w:val="21"/>
        </w:rPr>
        <w:t>Órgão/Unidade: 04.001 – SECRETARIA MUN. EDUCAÇÃO, CULTURA E TURISMO</w:t>
      </w:r>
    </w:p>
    <w:p>
      <w:pPr>
        <w:pStyle w:val="Normal"/>
        <w:suppressAutoHyphens w:val="false"/>
        <w:spacing w:lineRule="auto" w:line="360"/>
        <w:ind w:right="-1" w:hanging="0"/>
        <w:rPr>
          <w:rFonts w:eastAsia="NSimSun"/>
          <w:kern w:val="2"/>
          <w:sz w:val="21"/>
          <w:szCs w:val="21"/>
        </w:rPr>
      </w:pPr>
      <w:r>
        <w:rPr>
          <w:rFonts w:eastAsia="NSimSun"/>
          <w:kern w:val="2"/>
          <w:sz w:val="21"/>
          <w:szCs w:val="21"/>
        </w:rPr>
        <w:t>Proj/ Ativ.: 2.010 – EDUCAÇÃO INFANTIL - PRÉ-ESCOLAR</w:t>
      </w:r>
    </w:p>
    <w:p>
      <w:pPr>
        <w:pStyle w:val="Normal"/>
        <w:suppressAutoHyphens w:val="false"/>
        <w:spacing w:lineRule="auto" w:line="360"/>
        <w:ind w:right="-1" w:hanging="0"/>
        <w:rPr/>
      </w:pPr>
      <w:r>
        <w:rPr>
          <w:rFonts w:eastAsia="NSimSun"/>
          <w:kern w:val="2"/>
          <w:sz w:val="21"/>
          <w:szCs w:val="21"/>
        </w:rPr>
        <w:t xml:space="preserve">3.3.90.00.00.00.00.00.1.500.1001.0001 – Aplicações diretas </w:t>
      </w:r>
      <w:r>
        <w:rPr>
          <w:rFonts w:eastAsia="NSimSun"/>
          <w:b/>
          <w:bCs/>
          <w:kern w:val="2"/>
          <w:sz w:val="21"/>
          <w:szCs w:val="21"/>
        </w:rPr>
        <w:t xml:space="preserve">- R$ </w:t>
      </w:r>
      <w:r>
        <w:rPr>
          <w:rFonts w:eastAsia="NSimSun"/>
          <w:b/>
          <w:bCs/>
          <w:kern w:val="2"/>
          <w:sz w:val="21"/>
          <w:szCs w:val="21"/>
          <w:lang w:val="pt-BR"/>
        </w:rPr>
        <w:t>3.870</w:t>
      </w:r>
      <w:r>
        <w:rPr>
          <w:rFonts w:eastAsia="NSimSun"/>
          <w:b/>
          <w:bCs/>
          <w:kern w:val="2"/>
          <w:sz w:val="21"/>
          <w:szCs w:val="21"/>
        </w:rPr>
        <w:t>,00</w:t>
      </w:r>
    </w:p>
    <w:p>
      <w:pPr>
        <w:pStyle w:val="Normal"/>
        <w:suppressAutoHyphens w:val="false"/>
        <w:spacing w:lineRule="auto" w:line="360"/>
        <w:ind w:right="-1" w:hanging="0"/>
        <w:rPr>
          <w:rFonts w:eastAsia="NSimSun"/>
          <w:b/>
          <w:b/>
          <w:bCs/>
          <w:kern w:val="2"/>
          <w:sz w:val="21"/>
          <w:szCs w:val="21"/>
        </w:rPr>
      </w:pPr>
      <w:r>
        <w:rPr>
          <w:rFonts w:eastAsia="NSimSun"/>
          <w:b/>
          <w:bCs/>
          <w:kern w:val="2"/>
          <w:sz w:val="21"/>
          <w:szCs w:val="21"/>
        </w:rPr>
      </w:r>
    </w:p>
    <w:p>
      <w:pPr>
        <w:pStyle w:val="Normal"/>
        <w:suppressAutoHyphens w:val="false"/>
        <w:spacing w:lineRule="auto" w:line="360"/>
        <w:ind w:right="-1" w:hanging="0"/>
        <w:rPr>
          <w:rFonts w:eastAsia="NSimSun"/>
          <w:kern w:val="2"/>
          <w:sz w:val="21"/>
          <w:szCs w:val="21"/>
        </w:rPr>
      </w:pPr>
      <w:r>
        <w:rPr>
          <w:rFonts w:eastAsia="NSimSun"/>
          <w:kern w:val="2"/>
          <w:sz w:val="21"/>
          <w:szCs w:val="21"/>
        </w:rPr>
        <w:t>Proj/ Ativ.: 2.045 – MANUTENÇÃO DA CRECHE</w:t>
      </w:r>
    </w:p>
    <w:p>
      <w:pPr>
        <w:pStyle w:val="Normal"/>
        <w:suppressAutoHyphens w:val="false"/>
        <w:spacing w:lineRule="auto" w:line="360"/>
        <w:ind w:right="-1" w:hanging="0"/>
        <w:rPr/>
      </w:pPr>
      <w:r>
        <w:rPr>
          <w:rFonts w:eastAsia="NSimSun"/>
          <w:kern w:val="2"/>
          <w:sz w:val="21"/>
          <w:szCs w:val="21"/>
        </w:rPr>
        <w:t>3.3.90.00.00.00.00.00.1.500.1001.0001 – Aplicações diretas</w:t>
      </w:r>
      <w:r>
        <w:rPr>
          <w:rFonts w:eastAsia="NSimSun"/>
          <w:b/>
          <w:bCs/>
          <w:kern w:val="2"/>
          <w:sz w:val="21"/>
          <w:szCs w:val="21"/>
        </w:rPr>
        <w:t xml:space="preserve"> - R$ </w:t>
      </w:r>
      <w:r>
        <w:rPr>
          <w:rFonts w:eastAsia="NSimSun"/>
          <w:b/>
          <w:bCs/>
          <w:kern w:val="2"/>
          <w:sz w:val="21"/>
          <w:szCs w:val="21"/>
          <w:lang w:val="pt-BR"/>
        </w:rPr>
        <w:t>4.730</w:t>
      </w:r>
      <w:r>
        <w:rPr>
          <w:rFonts w:eastAsia="NSimSun"/>
          <w:b/>
          <w:bCs/>
          <w:kern w:val="2"/>
          <w:sz w:val="21"/>
          <w:szCs w:val="21"/>
        </w:rPr>
        <w:t>,00</w:t>
      </w:r>
    </w:p>
    <w:p>
      <w:pPr>
        <w:pStyle w:val="Normal"/>
        <w:suppressAutoHyphens w:val="false"/>
        <w:spacing w:lineRule="auto" w:line="360"/>
        <w:ind w:right="-1" w:hanging="0"/>
        <w:rPr>
          <w:rFonts w:eastAsia="NSimSun"/>
          <w:b/>
          <w:b/>
          <w:bCs/>
          <w:kern w:val="2"/>
          <w:sz w:val="21"/>
          <w:szCs w:val="21"/>
        </w:rPr>
      </w:pPr>
      <w:r>
        <w:rPr>
          <w:rFonts w:eastAsia="NSimSun"/>
          <w:b/>
          <w:bCs/>
          <w:kern w:val="2"/>
          <w:sz w:val="21"/>
          <w:szCs w:val="21"/>
        </w:rPr>
      </w:r>
    </w:p>
    <w:p>
      <w:pPr>
        <w:pStyle w:val="Normal"/>
        <w:suppressAutoHyphens w:val="false"/>
        <w:spacing w:lineRule="auto" w:line="360"/>
        <w:ind w:right="-1" w:hanging="0"/>
        <w:rPr>
          <w:rFonts w:eastAsia="NSimSun"/>
          <w:kern w:val="2"/>
          <w:sz w:val="21"/>
          <w:szCs w:val="21"/>
        </w:rPr>
      </w:pPr>
      <w:r>
        <w:rPr>
          <w:rFonts w:eastAsia="NSimSun"/>
          <w:kern w:val="2"/>
          <w:sz w:val="21"/>
          <w:szCs w:val="21"/>
        </w:rPr>
        <w:t>Proj/ Ativ.: 2.014 – MANUTENÇÃO DO ENSINO FUNDAMENTAL</w:t>
      </w:r>
    </w:p>
    <w:p>
      <w:pPr>
        <w:pStyle w:val="Normal"/>
        <w:suppressAutoHyphens w:val="false"/>
        <w:spacing w:lineRule="auto" w:line="360"/>
        <w:ind w:right="-1" w:hanging="0"/>
        <w:rPr/>
      </w:pPr>
      <w:r>
        <w:rPr>
          <w:rFonts w:eastAsia="NSimSun"/>
          <w:kern w:val="2"/>
          <w:sz w:val="21"/>
          <w:szCs w:val="21"/>
        </w:rPr>
        <w:t>3.3.90.00.00.00.00.00.1.500.1001.0001 – Aplicações diretas</w:t>
      </w:r>
      <w:r>
        <w:rPr>
          <w:rFonts w:eastAsia="NSimSun"/>
          <w:b/>
          <w:bCs/>
          <w:kern w:val="2"/>
          <w:sz w:val="21"/>
          <w:szCs w:val="21"/>
        </w:rPr>
        <w:t xml:space="preserve"> - R$ </w:t>
      </w:r>
      <w:r>
        <w:rPr>
          <w:rFonts w:eastAsia="NSimSun"/>
          <w:b/>
          <w:bCs/>
          <w:kern w:val="2"/>
          <w:sz w:val="21"/>
          <w:szCs w:val="21"/>
          <w:lang w:val="pt-BR"/>
        </w:rPr>
        <w:t>10.160,00</w:t>
      </w:r>
    </w:p>
    <w:p>
      <w:pPr>
        <w:pStyle w:val="Normal"/>
        <w:suppressAutoHyphens w:val="false"/>
        <w:spacing w:lineRule="auto" w:line="360"/>
        <w:ind w:right="-1" w:hanging="0"/>
        <w:rPr>
          <w:rFonts w:eastAsia="NSimSun"/>
          <w:b/>
          <w:b/>
          <w:bCs/>
          <w:kern w:val="2"/>
          <w:sz w:val="21"/>
          <w:szCs w:val="21"/>
          <w:lang w:val="pt-BR"/>
        </w:rPr>
      </w:pPr>
      <w:r>
        <w:rPr>
          <w:rFonts w:eastAsia="NSimSun"/>
          <w:b/>
          <w:bCs/>
          <w:kern w:val="2"/>
          <w:sz w:val="21"/>
          <w:szCs w:val="21"/>
          <w:lang w:val="pt-BR"/>
        </w:rPr>
      </w:r>
    </w:p>
    <w:p>
      <w:pPr>
        <w:pStyle w:val="Normal"/>
        <w:suppressAutoHyphens w:val="false"/>
        <w:spacing w:lineRule="auto" w:line="360"/>
        <w:ind w:right="-1" w:hanging="0"/>
        <w:rPr>
          <w:rFonts w:eastAsia="NSimSun"/>
          <w:b/>
          <w:b/>
          <w:bCs/>
          <w:kern w:val="2"/>
          <w:sz w:val="21"/>
          <w:szCs w:val="21"/>
        </w:rPr>
      </w:pPr>
      <w:r>
        <w:rPr>
          <w:rFonts w:eastAsia="NSimSun"/>
          <w:b/>
          <w:bCs/>
          <w:kern w:val="2"/>
          <w:sz w:val="21"/>
          <w:szCs w:val="21"/>
        </w:rPr>
        <w:t>Órgão/Unidade: 04.003 – SECRETARIA MUN. EDUCAÇÃO, CULTURA E TURISMO/ DIRETORIA DE CULTURA E TURISMO</w:t>
      </w:r>
    </w:p>
    <w:p>
      <w:pPr>
        <w:pStyle w:val="Normal"/>
        <w:suppressAutoHyphens w:val="false"/>
        <w:spacing w:lineRule="auto" w:line="360"/>
        <w:ind w:right="-1" w:hanging="0"/>
        <w:rPr>
          <w:rFonts w:eastAsia="NSimSun"/>
          <w:kern w:val="2"/>
          <w:sz w:val="21"/>
          <w:szCs w:val="21"/>
        </w:rPr>
      </w:pPr>
      <w:r>
        <w:rPr>
          <w:rFonts w:eastAsia="NSimSun"/>
          <w:kern w:val="2"/>
          <w:sz w:val="21"/>
          <w:szCs w:val="21"/>
        </w:rPr>
        <w:t>Proj/ Ativ.: 2.018 - MANUTENÇÃO DAS ATIVIDADES CULTURAIS</w:t>
      </w:r>
    </w:p>
    <w:p>
      <w:pPr>
        <w:pStyle w:val="Normal"/>
        <w:suppressAutoHyphens w:val="false"/>
        <w:spacing w:lineRule="auto" w:line="360"/>
        <w:ind w:right="-1" w:hanging="0"/>
        <w:rPr/>
      </w:pPr>
      <w:r>
        <w:rPr>
          <w:rFonts w:eastAsia="NSimSun"/>
          <w:kern w:val="2"/>
          <w:sz w:val="21"/>
          <w:szCs w:val="21"/>
        </w:rPr>
        <w:t>3.3.90.00.00.00.00.00.1.500.0000.0104 - Aplicações diretas</w:t>
      </w:r>
      <w:r>
        <w:rPr>
          <w:rFonts w:eastAsia="NSimSun"/>
          <w:b/>
          <w:bCs/>
          <w:kern w:val="2"/>
          <w:sz w:val="21"/>
          <w:szCs w:val="21"/>
        </w:rPr>
        <w:t xml:space="preserve"> - R$ </w:t>
      </w:r>
      <w:r>
        <w:rPr>
          <w:rFonts w:eastAsia="NSimSun"/>
          <w:b/>
          <w:bCs/>
          <w:kern w:val="2"/>
          <w:sz w:val="21"/>
          <w:szCs w:val="21"/>
          <w:lang w:val="pt-BR"/>
        </w:rPr>
        <w:t>60</w:t>
      </w:r>
      <w:r>
        <w:rPr>
          <w:rFonts w:eastAsia="NSimSun"/>
          <w:b/>
          <w:bCs/>
          <w:kern w:val="2"/>
          <w:sz w:val="21"/>
          <w:szCs w:val="21"/>
        </w:rPr>
        <w:t>0,00.</w:t>
      </w:r>
    </w:p>
    <w:p>
      <w:pPr>
        <w:pStyle w:val="Normal"/>
        <w:suppressAutoHyphens w:val="false"/>
        <w:spacing w:lineRule="auto" w:line="360"/>
        <w:ind w:right="-1" w:hanging="0"/>
        <w:rPr/>
      </w:pPr>
      <w:r>
        <w:rPr>
          <w:rFonts w:eastAsia="NSimSun"/>
          <w:b/>
          <w:bCs/>
          <w:kern w:val="2"/>
          <w:sz w:val="21"/>
          <w:szCs w:val="21"/>
          <w:lang w:val="pt-BR"/>
        </w:rPr>
        <w:t xml:space="preserve">SERVIÇOS DE UTILIDADE PÚBLICA - </w:t>
      </w:r>
      <w:r>
        <w:rPr>
          <w:rFonts w:eastAsia="NSimSun"/>
          <w:b/>
          <w:bCs/>
          <w:kern w:val="2"/>
          <w:sz w:val="21"/>
          <w:szCs w:val="21"/>
        </w:rPr>
        <w:t>DELEGACIA</w:t>
      </w:r>
    </w:p>
    <w:p>
      <w:pPr>
        <w:pStyle w:val="Normal"/>
        <w:suppressAutoHyphens w:val="false"/>
        <w:spacing w:lineRule="auto" w:line="360"/>
        <w:ind w:right="-1" w:hanging="0"/>
        <w:rPr>
          <w:rFonts w:eastAsia="NSimSun"/>
          <w:b w:val="false"/>
          <w:b w:val="false"/>
          <w:bCs w:val="false"/>
          <w:kern w:val="2"/>
          <w:sz w:val="21"/>
          <w:szCs w:val="21"/>
        </w:rPr>
      </w:pPr>
      <w:r>
        <w:rPr>
          <w:rFonts w:eastAsia="NSimSun"/>
          <w:b w:val="false"/>
          <w:bCs w:val="false"/>
          <w:kern w:val="2"/>
          <w:sz w:val="21"/>
          <w:szCs w:val="21"/>
        </w:rPr>
        <w:t>Ação: 2.044 - Segurança Pública</w:t>
      </w:r>
    </w:p>
    <w:p>
      <w:pPr>
        <w:pStyle w:val="Normal"/>
        <w:suppressAutoHyphens w:val="false"/>
        <w:spacing w:lineRule="auto" w:line="360"/>
        <w:ind w:right="-1" w:hanging="0"/>
        <w:rPr/>
      </w:pPr>
      <w:r>
        <w:rPr>
          <w:rFonts w:eastAsia="NSimSun"/>
          <w:b w:val="false"/>
          <w:bCs w:val="false"/>
          <w:kern w:val="2"/>
          <w:sz w:val="21"/>
          <w:szCs w:val="21"/>
        </w:rPr>
        <w:t>3.3.90.00.00.00.00.00 - Aplica</w:t>
      </w:r>
      <w:r>
        <w:rPr>
          <w:rFonts w:eastAsia="NSimSun"/>
          <w:b w:val="false"/>
          <w:bCs w:val="false"/>
          <w:kern w:val="2"/>
          <w:sz w:val="21"/>
          <w:szCs w:val="21"/>
          <w:lang w:val="pt-BR"/>
        </w:rPr>
        <w:t>ções</w:t>
      </w:r>
      <w:r>
        <w:rPr>
          <w:rFonts w:eastAsia="NSimSun"/>
          <w:b w:val="false"/>
          <w:bCs w:val="false"/>
          <w:kern w:val="2"/>
          <w:sz w:val="21"/>
          <w:szCs w:val="21"/>
        </w:rPr>
        <w:t xml:space="preserve"> Diretas</w:t>
      </w:r>
    </w:p>
    <w:p>
      <w:pPr>
        <w:pStyle w:val="Normal"/>
        <w:suppressAutoHyphens w:val="false"/>
        <w:spacing w:lineRule="auto" w:line="360"/>
        <w:ind w:right="-1" w:hanging="0"/>
        <w:rPr/>
      </w:pPr>
      <w:r>
        <w:rPr>
          <w:rFonts w:eastAsia="NSimSun"/>
          <w:b w:val="false"/>
          <w:bCs w:val="false"/>
          <w:kern w:val="2"/>
          <w:sz w:val="21"/>
          <w:szCs w:val="21"/>
        </w:rPr>
        <w:t>1.752.7005.0055 - Convênio de Trânsito - Civil</w:t>
      </w:r>
      <w:r>
        <w:rPr>
          <w:rFonts w:eastAsia="NSimSun"/>
          <w:b w:val="false"/>
          <w:bCs w:val="false"/>
          <w:kern w:val="2"/>
          <w:sz w:val="21"/>
          <w:szCs w:val="21"/>
          <w:lang w:val="pt-BR"/>
        </w:rPr>
        <w:t xml:space="preserve"> -</w:t>
      </w:r>
      <w:r>
        <w:rPr>
          <w:rFonts w:eastAsia="NSimSun"/>
          <w:b/>
          <w:bCs/>
          <w:kern w:val="2"/>
          <w:sz w:val="21"/>
          <w:szCs w:val="21"/>
          <w:lang w:val="pt-BR"/>
        </w:rPr>
        <w:t xml:space="preserve"> R$ 360,00</w:t>
      </w:r>
    </w:p>
    <w:p>
      <w:pPr>
        <w:pStyle w:val="Normal"/>
        <w:suppressAutoHyphens w:val="false"/>
        <w:spacing w:lineRule="auto" w:line="360"/>
        <w:ind w:right="-1" w:hanging="0"/>
        <w:rPr>
          <w:rFonts w:eastAsia="NSimSun"/>
          <w:b w:val="false"/>
          <w:b w:val="false"/>
          <w:bCs w:val="false"/>
          <w:kern w:val="2"/>
          <w:sz w:val="21"/>
          <w:szCs w:val="21"/>
          <w:lang w:val="pt-BR"/>
        </w:rPr>
      </w:pPr>
      <w:r>
        <w:rPr>
          <w:rFonts w:eastAsia="NSimSun"/>
          <w:b w:val="false"/>
          <w:bCs w:val="false"/>
          <w:kern w:val="2"/>
          <w:sz w:val="21"/>
          <w:szCs w:val="21"/>
          <w:lang w:val="pt-BR"/>
        </w:rPr>
      </w:r>
    </w:p>
    <w:p>
      <w:pPr>
        <w:pStyle w:val="Normal"/>
        <w:suppressAutoHyphens w:val="false"/>
        <w:spacing w:lineRule="auto" w:line="360"/>
        <w:ind w:right="-1" w:hanging="0"/>
        <w:rPr/>
      </w:pPr>
      <w:r>
        <w:rPr>
          <w:rFonts w:eastAsia="NSimSun"/>
          <w:b/>
          <w:bCs/>
          <w:kern w:val="2"/>
          <w:sz w:val="21"/>
          <w:szCs w:val="21"/>
          <w:lang w:val="pt-BR"/>
        </w:rPr>
        <w:t xml:space="preserve">FUNDO MUNICIPAL DA INFÂNCIA E ADOLESCENTE - </w:t>
      </w:r>
      <w:r>
        <w:rPr>
          <w:rFonts w:eastAsia="NSimSun"/>
          <w:b/>
          <w:bCs/>
          <w:kern w:val="2"/>
          <w:sz w:val="21"/>
          <w:szCs w:val="21"/>
        </w:rPr>
        <w:t>CONSELHO TUTELAR</w:t>
      </w:r>
    </w:p>
    <w:p>
      <w:pPr>
        <w:pStyle w:val="Normal"/>
        <w:suppressAutoHyphens w:val="false"/>
        <w:spacing w:lineRule="auto" w:line="360"/>
        <w:ind w:right="-1" w:hanging="0"/>
        <w:rPr>
          <w:rFonts w:eastAsia="NSimSun"/>
          <w:b w:val="false"/>
          <w:b w:val="false"/>
          <w:bCs w:val="false"/>
          <w:kern w:val="2"/>
          <w:sz w:val="21"/>
          <w:szCs w:val="21"/>
        </w:rPr>
      </w:pPr>
      <w:r>
        <w:rPr>
          <w:rFonts w:eastAsia="NSimSun"/>
          <w:b w:val="false"/>
          <w:bCs w:val="false"/>
          <w:kern w:val="2"/>
          <w:sz w:val="21"/>
          <w:szCs w:val="21"/>
        </w:rPr>
        <w:t>Ação: 2.043 - Manutenção do CMDCA e do Conselheiros Tutelares</w:t>
      </w:r>
    </w:p>
    <w:p>
      <w:pPr>
        <w:pStyle w:val="Normal"/>
        <w:suppressAutoHyphens w:val="false"/>
        <w:spacing w:lineRule="auto" w:line="360"/>
        <w:ind w:right="-1" w:hanging="0"/>
        <w:rPr>
          <w:rFonts w:eastAsia="NSimSun"/>
          <w:b w:val="false"/>
          <w:b w:val="false"/>
          <w:bCs w:val="false"/>
          <w:kern w:val="2"/>
          <w:sz w:val="21"/>
          <w:szCs w:val="21"/>
        </w:rPr>
      </w:pPr>
      <w:r>
        <w:rPr>
          <w:rFonts w:eastAsia="NSimSun"/>
          <w:b w:val="false"/>
          <w:bCs w:val="false"/>
          <w:kern w:val="2"/>
          <w:sz w:val="21"/>
          <w:szCs w:val="21"/>
        </w:rPr>
        <w:t>3.3.90.00.00.00.00.00 - Aplicacoes Diretas</w:t>
      </w:r>
    </w:p>
    <w:p>
      <w:pPr>
        <w:pStyle w:val="Normal"/>
        <w:suppressAutoHyphens w:val="false"/>
        <w:spacing w:lineRule="auto" w:line="360"/>
        <w:ind w:right="-1" w:hanging="0"/>
        <w:rPr/>
      </w:pPr>
      <w:r>
        <w:rPr>
          <w:rFonts w:eastAsia="NSimSun"/>
          <w:b w:val="false"/>
          <w:bCs w:val="false"/>
          <w:kern w:val="2"/>
          <w:sz w:val="21"/>
          <w:szCs w:val="21"/>
        </w:rPr>
        <w:t>1.500.0000.0104 - Recursos Ordinários</w:t>
      </w:r>
      <w:r>
        <w:rPr>
          <w:rFonts w:eastAsia="NSimSun"/>
          <w:b w:val="false"/>
          <w:bCs w:val="false"/>
          <w:kern w:val="2"/>
          <w:sz w:val="21"/>
          <w:szCs w:val="21"/>
          <w:lang w:val="pt-BR"/>
        </w:rPr>
        <w:t xml:space="preserve"> </w:t>
      </w:r>
      <w:r>
        <w:rPr>
          <w:rFonts w:eastAsia="NSimSun"/>
          <w:b/>
          <w:bCs/>
          <w:kern w:val="2"/>
          <w:sz w:val="21"/>
          <w:szCs w:val="21"/>
          <w:lang w:val="pt-BR"/>
        </w:rPr>
        <w:t xml:space="preserve">R$ 840,00 </w:t>
      </w:r>
    </w:p>
    <w:p>
      <w:pPr>
        <w:pStyle w:val="Normal"/>
        <w:suppressAutoHyphens w:val="false"/>
        <w:spacing w:lineRule="auto" w:line="360"/>
        <w:ind w:right="-1" w:hanging="0"/>
        <w:rPr>
          <w:rFonts w:eastAsia="NSimSun"/>
          <w:b/>
          <w:b/>
          <w:bCs/>
          <w:kern w:val="2"/>
          <w:sz w:val="21"/>
          <w:szCs w:val="21"/>
          <w:lang w:val="pt-BR"/>
        </w:rPr>
      </w:pPr>
      <w:r>
        <w:rPr>
          <w:rFonts w:eastAsia="NSimSun"/>
          <w:b/>
          <w:bCs/>
          <w:kern w:val="2"/>
          <w:sz w:val="21"/>
          <w:szCs w:val="21"/>
          <w:lang w:val="pt-BR"/>
        </w:rPr>
      </w:r>
    </w:p>
    <w:p>
      <w:pPr>
        <w:pStyle w:val="Normal"/>
        <w:suppressAutoHyphens w:val="false"/>
        <w:spacing w:lineRule="auto" w:line="360"/>
        <w:ind w:right="-1" w:hanging="0"/>
        <w:rPr/>
      </w:pPr>
      <w:r>
        <w:rPr>
          <w:rFonts w:eastAsia="NSimSun"/>
          <w:b/>
          <w:bCs/>
          <w:kern w:val="2"/>
          <w:sz w:val="21"/>
          <w:szCs w:val="21"/>
        </w:rPr>
        <w:t xml:space="preserve">Entidade: </w:t>
      </w:r>
      <w:r>
        <w:rPr>
          <w:rFonts w:eastAsia="Times New Roman"/>
          <w:b/>
          <w:bCs/>
          <w:color w:val="000000"/>
          <w:sz w:val="21"/>
          <w:szCs w:val="21"/>
          <w:lang w:val="en-US" w:eastAsia="pt-BR"/>
        </w:rPr>
        <w:t xml:space="preserve">PREFEITURA </w:t>
      </w:r>
      <w:r>
        <w:rPr>
          <w:rFonts w:eastAsia="Times New Roman"/>
          <w:b/>
          <w:bCs/>
          <w:color w:val="000000"/>
          <w:sz w:val="21"/>
          <w:szCs w:val="21"/>
          <w:lang w:eastAsia="pt-BR"/>
        </w:rPr>
        <w:t>DE LINDÓIA DO SUL</w:t>
      </w:r>
      <w:r>
        <w:rPr>
          <w:rFonts w:eastAsia="Times New Roman"/>
          <w:b/>
          <w:bCs/>
          <w:color w:val="000000"/>
          <w:sz w:val="21"/>
          <w:szCs w:val="21"/>
          <w:lang w:val="en-US" w:eastAsia="pt-BR"/>
        </w:rPr>
        <w:t xml:space="preserve">           </w:t>
      </w:r>
    </w:p>
    <w:p>
      <w:pPr>
        <w:pStyle w:val="Normal"/>
        <w:suppressAutoHyphens w:val="false"/>
        <w:spacing w:lineRule="auto" w:line="360"/>
        <w:ind w:right="-1" w:hanging="0"/>
        <w:rPr/>
      </w:pPr>
      <w:r>
        <w:rPr>
          <w:rFonts w:eastAsia="NSimSun"/>
          <w:b/>
          <w:bCs/>
          <w:kern w:val="2"/>
          <w:sz w:val="21"/>
          <w:szCs w:val="21"/>
        </w:rPr>
        <w:t>Órgão/Unidade:</w:t>
      </w:r>
      <w:r>
        <w:rPr>
          <w:rFonts w:eastAsia="NSimSun"/>
          <w:kern w:val="2"/>
          <w:sz w:val="21"/>
          <w:szCs w:val="21"/>
        </w:rPr>
        <w:t xml:space="preserve"> 06.00</w:t>
      </w:r>
      <w:r>
        <w:rPr>
          <w:rFonts w:eastAsia="NSimSun"/>
          <w:kern w:val="2"/>
          <w:sz w:val="21"/>
          <w:szCs w:val="21"/>
          <w:lang w:val="pt-BR"/>
        </w:rPr>
        <w:t>1</w:t>
      </w:r>
      <w:r>
        <w:rPr>
          <w:rFonts w:eastAsia="NSimSun"/>
          <w:kern w:val="2"/>
          <w:sz w:val="21"/>
          <w:szCs w:val="21"/>
        </w:rPr>
        <w:t xml:space="preserve"> </w:t>
      </w:r>
      <w:r>
        <w:rPr>
          <w:rFonts w:eastAsia="NSimSun"/>
          <w:kern w:val="2"/>
          <w:sz w:val="21"/>
          <w:szCs w:val="21"/>
          <w:lang w:val="pt-BR"/>
        </w:rPr>
        <w:t>DIRETORIA DE URBANISMO</w:t>
      </w:r>
    </w:p>
    <w:p>
      <w:pPr>
        <w:pStyle w:val="Normal"/>
        <w:suppressAutoHyphens w:val="false"/>
        <w:spacing w:lineRule="auto" w:line="360"/>
        <w:ind w:right="-1" w:hanging="0"/>
        <w:rPr/>
      </w:pPr>
      <w:r>
        <w:rPr>
          <w:rFonts w:eastAsia="NSimSun"/>
          <w:b/>
          <w:bCs/>
          <w:kern w:val="2"/>
          <w:sz w:val="21"/>
          <w:szCs w:val="21"/>
        </w:rPr>
        <w:t xml:space="preserve">PROJ/ATIV.: </w:t>
      </w:r>
      <w:r>
        <w:rPr>
          <w:rFonts w:eastAsia="NSimSun"/>
          <w:kern w:val="2"/>
          <w:sz w:val="21"/>
          <w:szCs w:val="21"/>
        </w:rPr>
        <w:t>2.00</w:t>
      </w:r>
      <w:r>
        <w:rPr>
          <w:rFonts w:eastAsia="NSimSun"/>
          <w:kern w:val="2"/>
          <w:sz w:val="21"/>
          <w:szCs w:val="21"/>
          <w:lang w:val="pt-BR"/>
        </w:rPr>
        <w:t>6</w:t>
      </w:r>
      <w:r>
        <w:rPr>
          <w:rFonts w:eastAsia="NSimSun"/>
          <w:kern w:val="2"/>
          <w:sz w:val="21"/>
          <w:szCs w:val="21"/>
        </w:rPr>
        <w:t xml:space="preserve"> DIRETORIA DE </w:t>
      </w:r>
      <w:r>
        <w:rPr>
          <w:rFonts w:eastAsia="NSimSun"/>
          <w:kern w:val="2"/>
          <w:sz w:val="21"/>
          <w:szCs w:val="21"/>
          <w:lang w:val="pt-BR"/>
        </w:rPr>
        <w:t>URBANISMO</w:t>
      </w:r>
    </w:p>
    <w:p>
      <w:pPr>
        <w:pStyle w:val="Normal"/>
        <w:suppressAutoHyphens w:val="false"/>
        <w:spacing w:lineRule="auto" w:line="360"/>
        <w:ind w:right="-1" w:hanging="0"/>
        <w:rPr/>
      </w:pPr>
      <w:r>
        <w:rPr>
          <w:rFonts w:eastAsia="NSimSun"/>
          <w:b/>
          <w:bCs/>
          <w:kern w:val="2"/>
          <w:sz w:val="21"/>
          <w:szCs w:val="21"/>
        </w:rPr>
        <w:t>Recurso:</w:t>
      </w:r>
      <w:r>
        <w:rPr>
          <w:rFonts w:eastAsia="NSimSun"/>
          <w:kern w:val="2"/>
          <w:sz w:val="21"/>
          <w:szCs w:val="21"/>
        </w:rPr>
        <w:t xml:space="preserve"> 3.3.90.00.00.00.00.00 Aplicações Diretas </w:t>
      </w:r>
      <w:r>
        <w:rPr>
          <w:rFonts w:eastAsia="NSimSun"/>
          <w:kern w:val="2"/>
          <w:sz w:val="21"/>
          <w:szCs w:val="21"/>
          <w:lang w:val="pt-BR"/>
        </w:rPr>
        <w:t>1</w:t>
      </w:r>
      <w:r>
        <w:rPr>
          <w:rFonts w:eastAsia="NSimSun"/>
          <w:kern w:val="2"/>
          <w:sz w:val="21"/>
          <w:szCs w:val="21"/>
        </w:rPr>
        <w:t>.500.0000.</w:t>
      </w:r>
      <w:r>
        <w:rPr>
          <w:rFonts w:eastAsia="NSimSun"/>
          <w:kern w:val="2"/>
          <w:sz w:val="21"/>
          <w:szCs w:val="21"/>
          <w:lang w:val="pt-BR"/>
        </w:rPr>
        <w:t>0104</w:t>
      </w:r>
      <w:r>
        <w:rPr>
          <w:rFonts w:eastAsia="NSimSun"/>
          <w:kern w:val="2"/>
          <w:sz w:val="21"/>
          <w:szCs w:val="21"/>
        </w:rPr>
        <w:t xml:space="preserve"> recursos ordinários</w:t>
      </w:r>
      <w:r>
        <w:rPr>
          <w:rFonts w:eastAsia="NSimSun"/>
          <w:kern w:val="2"/>
          <w:sz w:val="21"/>
          <w:szCs w:val="21"/>
          <w:lang w:val="pt-BR"/>
        </w:rPr>
        <w:t xml:space="preserve"> </w:t>
      </w:r>
      <w:r>
        <w:rPr>
          <w:rFonts w:eastAsia="NSimSun"/>
          <w:kern w:val="2"/>
          <w:sz w:val="21"/>
          <w:szCs w:val="21"/>
        </w:rPr>
        <w:t xml:space="preserve">- </w:t>
      </w:r>
      <w:r>
        <w:rPr>
          <w:rFonts w:eastAsia="NSimSun"/>
          <w:b/>
          <w:bCs/>
          <w:kern w:val="2"/>
          <w:sz w:val="21"/>
          <w:szCs w:val="21"/>
        </w:rPr>
        <w:t>R$</w:t>
      </w:r>
      <w:r>
        <w:rPr>
          <w:rFonts w:eastAsia="NSimSun"/>
          <w:b/>
          <w:bCs/>
          <w:kern w:val="2"/>
          <w:sz w:val="21"/>
          <w:szCs w:val="21"/>
          <w:lang w:val="pt-BR"/>
        </w:rPr>
        <w:t xml:space="preserve"> 720</w:t>
      </w:r>
      <w:r>
        <w:rPr>
          <w:rFonts w:eastAsia="NSimSun"/>
          <w:b/>
          <w:bCs/>
          <w:kern w:val="2"/>
          <w:sz w:val="21"/>
          <w:szCs w:val="21"/>
        </w:rPr>
        <w:t>,00</w:t>
      </w:r>
    </w:p>
    <w:p>
      <w:pPr>
        <w:pStyle w:val="Normal"/>
        <w:suppressAutoHyphens w:val="false"/>
        <w:spacing w:lineRule="auto" w:line="360"/>
        <w:ind w:right="-1" w:hanging="0"/>
        <w:rPr>
          <w:rFonts w:eastAsia="NSimSun"/>
          <w:b/>
          <w:b/>
          <w:bCs/>
          <w:kern w:val="2"/>
          <w:sz w:val="21"/>
          <w:szCs w:val="21"/>
          <w:lang w:val="pt-BR"/>
        </w:rPr>
      </w:pPr>
      <w:r>
        <w:rPr>
          <w:rFonts w:eastAsia="NSimSun"/>
          <w:b/>
          <w:bCs/>
          <w:kern w:val="2"/>
          <w:sz w:val="21"/>
          <w:szCs w:val="21"/>
          <w:lang w:val="pt-BR"/>
        </w:rPr>
      </w:r>
    </w:p>
    <w:p>
      <w:pPr>
        <w:pStyle w:val="Normal"/>
        <w:suppressAutoHyphens w:val="false"/>
        <w:spacing w:lineRule="auto" w:line="360"/>
        <w:ind w:left="709" w:right="-1" w:hanging="0"/>
        <w:rPr/>
      </w:pPr>
      <w:r>
        <w:rPr>
          <w:rFonts w:eastAsia="NSimSun"/>
          <w:kern w:val="2"/>
          <w:sz w:val="21"/>
          <w:szCs w:val="21"/>
        </w:rPr>
        <w:tab/>
        <w:t>Para o(s) exercício(s) seguinte(s), serão utilizadas as dotações vigentes em cada período.</w:t>
      </w:r>
    </w:p>
    <w:p>
      <w:pPr>
        <w:pStyle w:val="ListParagraph"/>
        <w:numPr>
          <w:ilvl w:val="0"/>
          <w:numId w:val="1"/>
        </w:numPr>
        <w:tabs>
          <w:tab w:val="clear" w:pos="708"/>
          <w:tab w:val="left" w:pos="0" w:leader="none"/>
        </w:tabs>
        <w:spacing w:lineRule="auto" w:line="360" w:before="140" w:after="140"/>
        <w:contextualSpacing/>
        <w:rPr>
          <w:b/>
          <w:b/>
        </w:rPr>
      </w:pPr>
      <w:r>
        <w:rPr>
          <w:b/>
        </w:rPr>
        <w:t>FORMA E CRITÉRIOS DE SELEÇÃO DO FORNECEDOR</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Através da licitação a ser realizada na modalidade pregão, na forma eletrônica, e auxiliada pelo Sistema de Registro de Preços, devidamente regulamentado pelo decreto municipal, será selecionado como fornecedor de cada lote aquele que apresentar proposta de MENOR PREÇO, JULGAMENTO POR LOTE,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1"/>
          <w:numId w:val="1"/>
        </w:numPr>
        <w:tabs>
          <w:tab w:val="clear" w:pos="708"/>
          <w:tab w:val="left" w:pos="0" w:leader="none"/>
          <w:tab w:val="left" w:pos="709" w:leader="none"/>
        </w:tabs>
        <w:spacing w:lineRule="auto" w:line="360" w:before="140" w:after="140"/>
        <w:contextualSpacing/>
        <w:jc w:val="both"/>
        <w:rPr>
          <w:b/>
          <w:b/>
          <w:bCs/>
        </w:rPr>
      </w:pPr>
      <w:r>
        <w:rPr>
          <w:b/>
          <w:bCs/>
        </w:rPr>
        <w:t>EXIGÊNCIA DE AMOSTRAS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Não se aplica.</w:t>
      </w:r>
    </w:p>
    <w:p>
      <w:pPr>
        <w:pStyle w:val="ListParagraph"/>
        <w:numPr>
          <w:ilvl w:val="1"/>
          <w:numId w:val="1"/>
        </w:numPr>
        <w:tabs>
          <w:tab w:val="clear" w:pos="708"/>
          <w:tab w:val="left" w:pos="0" w:leader="none"/>
        </w:tabs>
        <w:spacing w:lineRule="auto" w:line="360" w:before="140" w:after="140"/>
        <w:contextualSpacing/>
        <w:rPr>
          <w:b/>
          <w:b/>
        </w:rPr>
      </w:pPr>
      <w:r>
        <w:rPr>
          <w:b/>
        </w:rPr>
        <w:t>TRATAMENTO DIFERENCIADO PARA MICRO E PEQUENA EMPRESA</w:t>
      </w:r>
    </w:p>
    <w:p>
      <w:pPr>
        <w:pStyle w:val="Normal"/>
        <w:tabs>
          <w:tab w:val="clear" w:pos="708"/>
          <w:tab w:val="left" w:pos="2340" w:leader="none"/>
          <w:tab w:val="left" w:pos="4464" w:leader="none"/>
        </w:tabs>
        <w:spacing w:lineRule="auto" w:line="360"/>
        <w:ind w:firstLine="709"/>
        <w:jc w:val="both"/>
        <w:rPr>
          <w:rFonts w:eastAsia="Lucida Sans Unicode"/>
          <w:bCs/>
          <w:color w:val="000000"/>
          <w:sz w:val="21"/>
          <w:szCs w:val="21"/>
          <w:lang w:eastAsia="pt-BR"/>
        </w:rPr>
      </w:pPr>
      <w:r>
        <w:rPr>
          <w:rFonts w:eastAsia="Lucida Sans Unicode"/>
          <w:bCs/>
          <w:color w:val="000000"/>
          <w:sz w:val="21"/>
          <w:szCs w:val="21"/>
          <w:lang w:eastAsia="pt-BR"/>
        </w:rPr>
        <w:t>Este processo licitatório é destinado exclusivamente aos interessados qualificados como microempresa ou empresa de pequeno porte, aptas a se beneficiarem do tratamento diferenciado e favorecido estabelecido pela Lei Complementar n° 123/2006 e suas alterações, desde que não se enquadrem em quaisquer das exclusões relacionadas no § 4º do artigo 3º desta Lei.</w:t>
      </w:r>
    </w:p>
    <w:p>
      <w:pPr>
        <w:pStyle w:val="ListParagraph"/>
        <w:numPr>
          <w:ilvl w:val="0"/>
          <w:numId w:val="1"/>
        </w:numPr>
        <w:tabs>
          <w:tab w:val="clear" w:pos="708"/>
          <w:tab w:val="left" w:pos="0" w:leader="none"/>
        </w:tabs>
        <w:spacing w:lineRule="auto" w:line="360" w:before="140" w:after="140"/>
        <w:contextualSpacing/>
        <w:rPr>
          <w:b/>
          <w:b/>
          <w:sz w:val="21"/>
          <w:szCs w:val="21"/>
        </w:rPr>
      </w:pPr>
      <w:r>
        <w:rPr>
          <w:b/>
          <w:sz w:val="21"/>
          <w:szCs w:val="21"/>
        </w:rPr>
        <w:t>MODELO DE EXECUÇÃO DO OBJETO</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Conforme disposto no </w:t>
      </w:r>
      <w:r>
        <w:rPr>
          <w:sz w:val="21"/>
          <w:szCs w:val="21"/>
        </w:rPr>
        <w:t>art. 84, parágrafo único, da Lei Federal n. 14.133/2021</w:t>
      </w:r>
      <w:r>
        <w:rPr>
          <w:bCs/>
          <w:sz w:val="21"/>
          <w:szCs w:val="21"/>
        </w:rPr>
        <w:t xml:space="preserve">, o contrato decorrente do Sistema de Registro de Preços deverá ser assinado no prazo de vigência da ata de registro de preços </w:t>
      </w:r>
      <w:r>
        <w:rPr>
          <w:sz w:val="21"/>
          <w:szCs w:val="21"/>
        </w:rPr>
        <w:t>e terá sua vigência estabelecida em conformidade com as disposições nela contidas.</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A contratação do item, com fornecimento parcelado, será efetuada conforme a necessidade de cada Órgão Participante, não lhe sendo gerado, pela existência de preços registrados, a obrigação de contratar, nos termos do art. 83 da Lei Federal n. 14.133/2021.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A contratação com os fornecedores registrados será formalizada pelo Órgão Participante por intermédio de emissão de nota de empenho de despesa e autorização de fornecimento de compra.</w:t>
      </w:r>
    </w:p>
    <w:p>
      <w:pPr>
        <w:pStyle w:val="Normal"/>
        <w:spacing w:lineRule="auto" w:line="360" w:before="142" w:after="142"/>
        <w:jc w:val="both"/>
        <w:rPr>
          <w:b/>
          <w:b/>
          <w:bCs/>
        </w:rPr>
      </w:pPr>
      <w:r>
        <w:rPr>
          <w:b/>
          <w:bCs/>
        </w:rPr>
        <w:t>Descrição dos serviços:</w:t>
      </w:r>
    </w:p>
    <w:p>
      <w:pPr>
        <w:pStyle w:val="Normal"/>
        <w:tabs>
          <w:tab w:val="clear" w:pos="708"/>
          <w:tab w:val="left" w:pos="1276" w:leader="none"/>
          <w:tab w:val="left" w:pos="4464" w:leader="none"/>
        </w:tabs>
        <w:spacing w:lineRule="auto" w:line="360" w:before="142" w:after="142"/>
        <w:ind w:firstLine="709"/>
        <w:jc w:val="both"/>
        <w:rPr/>
      </w:pPr>
      <w:r>
        <w:rPr>
          <w:bCs/>
          <w:sz w:val="21"/>
          <w:szCs w:val="21"/>
        </w:rPr>
        <w:t>A contratada deverá fornecer gás de cozinha GLP 13kg e 45kg, conforme a necessidade do Município. Os itens mencionados, serão entregues para cada Secretaria conforme solicitação emitida através da Solicitação de Fornecimento, após envio de solicitação de Fornecimento a contratada deverá entregar conforme a urgência de cada Secretaria.</w:t>
      </w:r>
      <w:r>
        <w:rPr>
          <w:rFonts w:eastAsia="SimSun" w:cs="SimSun" w:ascii="SimSun" w:hAnsi="SimSun"/>
          <w:sz w:val="21"/>
          <w:szCs w:val="21"/>
        </w:rPr>
        <w:t xml:space="preserve"> </w:t>
      </w:r>
    </w:p>
    <w:p>
      <w:pPr>
        <w:pStyle w:val="Normal"/>
        <w:tabs>
          <w:tab w:val="clear" w:pos="708"/>
          <w:tab w:val="left" w:pos="2340" w:leader="none"/>
          <w:tab w:val="left" w:pos="4464" w:leader="none"/>
        </w:tabs>
        <w:spacing w:lineRule="auto" w:line="360" w:before="142" w:after="142"/>
        <w:ind w:firstLine="709"/>
        <w:jc w:val="both"/>
        <w:rPr/>
      </w:pPr>
      <w:r>
        <w:rPr>
          <w:rFonts w:eastAsia="SimSun"/>
          <w:sz w:val="21"/>
          <w:szCs w:val="21"/>
        </w:rPr>
        <w:t>A contratada será responsável por todos os ônus e obrigações concernentes à fiscal, social, trabalhista, comercial e tributária, bem como pelos eventuais acidentes, danos e prejuízos que a qualquer título causar ao CONTRATANTE, ao meio ambiente e/ou a terceiros, em decorrência da execução do instrumento contratual, respondendo por si e por seus sucessores.</w:t>
      </w:r>
      <w:r>
        <w:rPr>
          <w:rFonts w:eastAsia="SimSun" w:cs="SimSun" w:ascii="SimSun" w:hAnsi="SimSun"/>
          <w:sz w:val="21"/>
          <w:szCs w:val="21"/>
        </w:rPr>
        <w:t xml:space="preserve"> </w:t>
      </w:r>
    </w:p>
    <w:p>
      <w:pPr>
        <w:pStyle w:val="Normal"/>
        <w:tabs>
          <w:tab w:val="clear" w:pos="708"/>
          <w:tab w:val="left" w:pos="2340" w:leader="none"/>
          <w:tab w:val="left" w:pos="4464" w:leader="none"/>
        </w:tabs>
        <w:spacing w:lineRule="auto" w:line="360" w:before="142" w:after="142"/>
        <w:ind w:firstLine="709"/>
        <w:jc w:val="both"/>
        <w:rPr>
          <w:rFonts w:eastAsia="SimSun"/>
          <w:sz w:val="21"/>
          <w:szCs w:val="21"/>
        </w:rPr>
      </w:pPr>
      <w:r>
        <w:rPr>
          <w:rFonts w:eastAsia="SimSun"/>
          <w:sz w:val="21"/>
          <w:szCs w:val="21"/>
        </w:rPr>
        <w:t>A contratada será a única responsável pela prestação dos serviços descritos no Termo de Referência, estando o Município isento de qualquer responsabilidade sobre os mesmos, devendo a contratada possuir seguro sobre todo o objeto contratado, seja de natureza civil, patrimonial/material ou por danos morais.</w:t>
      </w:r>
    </w:p>
    <w:p>
      <w:pPr>
        <w:pStyle w:val="Normal"/>
        <w:spacing w:lineRule="auto" w:line="360" w:before="142" w:after="142"/>
        <w:jc w:val="both"/>
        <w:rPr/>
      </w:pPr>
      <w:r>
        <w:rPr/>
        <w:tab/>
      </w:r>
      <w:r>
        <w:rPr>
          <w:sz w:val="21"/>
          <w:szCs w:val="21"/>
        </w:rPr>
        <w:t>Fornecimento de recarga de gases na modalidade recarga de vasilhame, com botijões em bom estado e com instalação no local adequado como indicado pela CONTRATANTE.</w:t>
      </w:r>
    </w:p>
    <w:p>
      <w:pPr>
        <w:pStyle w:val="Normal"/>
        <w:spacing w:lineRule="auto" w:line="360" w:before="142" w:after="142"/>
        <w:jc w:val="both"/>
        <w:rPr/>
      </w:pPr>
      <w:r>
        <w:rPr>
          <w:sz w:val="21"/>
          <w:szCs w:val="21"/>
        </w:rPr>
        <w:tab/>
        <w:t>O mesmo deve se chegar ao local lacrado e vedado, e somente ser abertos no momento da instalação, que será acompanhado por um representante da CONTRATANTE.</w:t>
      </w:r>
    </w:p>
    <w:p>
      <w:pPr>
        <w:pStyle w:val="Normal"/>
        <w:spacing w:lineRule="auto" w:line="360" w:before="142" w:after="142"/>
        <w:jc w:val="both"/>
        <w:rPr/>
      </w:pPr>
      <w:r>
        <w:rPr>
          <w:sz w:val="21"/>
          <w:szCs w:val="21"/>
        </w:rPr>
        <w:tab/>
        <w:t>Deverá estar de acordo com as Normas da Agência Nacional de Gás Natural e Biocombustível ANP.</w:t>
      </w:r>
    </w:p>
    <w:p>
      <w:pPr>
        <w:pStyle w:val="ListParagraph"/>
        <w:numPr>
          <w:ilvl w:val="1"/>
          <w:numId w:val="1"/>
        </w:numPr>
        <w:tabs>
          <w:tab w:val="clear" w:pos="708"/>
          <w:tab w:val="left" w:pos="0" w:leader="none"/>
          <w:tab w:val="left" w:pos="709" w:leader="none"/>
          <w:tab w:val="left" w:pos="4464" w:leader="none"/>
        </w:tabs>
        <w:spacing w:lineRule="auto" w:line="360" w:before="140" w:after="140"/>
        <w:contextualSpacing/>
        <w:jc w:val="both"/>
        <w:rPr>
          <w:b/>
          <w:b/>
        </w:rPr>
      </w:pPr>
      <w:r>
        <w:rPr>
          <w:b/>
        </w:rPr>
        <w:t>ENTREGA DO OBJETO</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Os itens contratados deverão ser entregues no prazo máximo de 02 (dois)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p>
    <w:p>
      <w:pPr>
        <w:pStyle w:val="Normal"/>
        <w:spacing w:lineRule="auto" w:line="360" w:before="142" w:after="142"/>
        <w:ind w:firstLine="720"/>
        <w:jc w:val="both"/>
        <w:rPr/>
      </w:pPr>
      <w:r>
        <w:rPr>
          <w:sz w:val="21"/>
          <w:szCs w:val="21"/>
        </w:rPr>
        <w:t xml:space="preserve">A empresa deverá entregar </w:t>
      </w:r>
      <w:r>
        <w:rPr>
          <w:color w:val="000000"/>
          <w:sz w:val="21"/>
          <w:szCs w:val="21"/>
        </w:rPr>
        <w:t>de segunda a sexta-feira, das 08:00h às 11:30h e das 13:30h às 17:00h, conforme a necessidade do Município,</w:t>
      </w:r>
      <w:r>
        <w:rPr>
          <w:sz w:val="21"/>
          <w:szCs w:val="21"/>
        </w:rPr>
        <w:t xml:space="preserve"> o produto nos endereços informados na Solicitação de Fornecimento, </w:t>
      </w:r>
      <w:r>
        <w:rPr>
          <w:rFonts w:eastAsia="Lucida Sans Unicode"/>
          <w:color w:val="000000"/>
          <w:kern w:val="2"/>
          <w:sz w:val="21"/>
          <w:szCs w:val="21"/>
          <w:lang w:bidi="ar-SA"/>
        </w:rPr>
        <w:t xml:space="preserve">sem ônus para o Município, </w:t>
      </w:r>
      <w:r>
        <w:rPr>
          <w:sz w:val="21"/>
          <w:szCs w:val="21"/>
        </w:rPr>
        <w:t>deixando devidamente instalado em seu local e apto para uso, conferido por funcionário e que não haja nenhum vazamento no produto.</w:t>
      </w:r>
    </w:p>
    <w:p>
      <w:pPr>
        <w:pStyle w:val="Normal"/>
        <w:spacing w:lineRule="auto" w:line="360" w:before="142" w:after="142"/>
        <w:jc w:val="both"/>
        <w:rPr/>
      </w:pPr>
      <w:r>
        <w:rPr>
          <w:sz w:val="21"/>
          <w:szCs w:val="21"/>
        </w:rPr>
        <w:tab/>
        <w:t xml:space="preserve">A entrega do produto deve ser realizada por profissionais devidamente treinados, e identificados pela empresa contratada, </w:t>
      </w:r>
      <w:r>
        <w:rPr>
          <w:rFonts w:eastAsia="Lucida Sans Unicode"/>
          <w:color w:val="000000"/>
          <w:kern w:val="2"/>
          <w:sz w:val="21"/>
          <w:szCs w:val="21"/>
          <w:lang w:bidi="ar-SA"/>
        </w:rPr>
        <w:t>nos locais abaixo:</w:t>
      </w:r>
    </w:p>
    <w:p>
      <w:pPr>
        <w:pStyle w:val="Normal"/>
        <w:numPr>
          <w:ilvl w:val="0"/>
          <w:numId w:val="2"/>
        </w:numPr>
        <w:tabs>
          <w:tab w:val="clear" w:pos="708"/>
          <w:tab w:val="left" w:pos="720" w:leader="none"/>
        </w:tabs>
        <w:spacing w:before="142" w:after="142"/>
        <w:ind w:left="709" w:hanging="283"/>
        <w:jc w:val="both"/>
        <w:rPr>
          <w:rFonts w:eastAsia="Lucida Sans Unicode"/>
          <w:color w:val="000000"/>
          <w:kern w:val="2"/>
          <w:sz w:val="21"/>
          <w:szCs w:val="21"/>
          <w:lang w:bidi="ar-SA"/>
        </w:rPr>
      </w:pPr>
      <w:r>
        <w:rPr>
          <w:rFonts w:eastAsia="Lucida Sans Unicode"/>
          <w:color w:val="000000"/>
          <w:kern w:val="2"/>
          <w:sz w:val="21"/>
          <w:szCs w:val="21"/>
          <w:lang w:bidi="ar-SA"/>
        </w:rPr>
        <w:t xml:space="preserve">Secretaria de Educação, Cultura e Turismo: Rua Tamandaré nº 98. </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Secretaria de Administração e Finanças: Rua Tamandaré nº 98.</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Secretaria de Saúde: Rua Tamandaré s/n (Frente a Prefeitura Municipal).</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Conselho Tutelar: Rua Sete de Setembro nº 275.</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Centro de Referência de Assistência Social: Rua XV de Novembro nº 320.</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Núcleo de Educação Ottaviano Nicolao: Rua da Amizade nº 369.</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Núcleo de Educação 15 de Novembro, Linha XV de Novembro, s/n, interior.</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 xml:space="preserve">Centro de Educação Infantil Roselene Fátima Bussolaro: Rua Sete de Setembro nº 436. </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Secretaria de Assistência Social: Rua 29 de Julho nº 407.</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 xml:space="preserve">Diretoria de Urbanismo: Rua 29 de Julho s/n. </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val="pt-BR" w:bidi="ar-SA"/>
        </w:rPr>
      </w:pPr>
      <w:r>
        <w:rPr>
          <w:rFonts w:eastAsia="Lucida Sans Unicode"/>
          <w:color w:val="000000"/>
          <w:kern w:val="2"/>
          <w:sz w:val="21"/>
          <w:szCs w:val="21"/>
          <w:lang w:val="pt-BR" w:bidi="ar-SA"/>
        </w:rPr>
        <w:t>Delegacia: Rua Barão do Rio Branco nº 90.</w:t>
      </w:r>
    </w:p>
    <w:p>
      <w:pPr>
        <w:pStyle w:val="Normal"/>
        <w:numPr>
          <w:ilvl w:val="0"/>
          <w:numId w:val="2"/>
        </w:numPr>
        <w:tabs>
          <w:tab w:val="clear" w:pos="708"/>
          <w:tab w:val="left" w:pos="720" w:leader="none"/>
        </w:tabs>
        <w:spacing w:before="142" w:after="142"/>
        <w:ind w:left="720" w:hanging="360"/>
        <w:jc w:val="both"/>
        <w:rPr>
          <w:rFonts w:eastAsia="Lucida Sans Unicode"/>
          <w:color w:val="000000"/>
          <w:kern w:val="2"/>
          <w:sz w:val="21"/>
          <w:szCs w:val="21"/>
          <w:lang w:bidi="ar-SA"/>
        </w:rPr>
      </w:pPr>
      <w:r>
        <w:rPr>
          <w:rFonts w:eastAsia="Lucida Sans Unicode"/>
          <w:color w:val="000000"/>
          <w:kern w:val="2"/>
          <w:sz w:val="21"/>
          <w:szCs w:val="21"/>
          <w:lang w:bidi="ar-SA"/>
        </w:rPr>
        <w:t xml:space="preserve">Secretaria de Infraestrutura e Transportes: Lageado Acídio, S/N, interior. </w:t>
      </w:r>
    </w:p>
    <w:p>
      <w:pPr>
        <w:pStyle w:val="Normal"/>
        <w:spacing w:before="142" w:after="142"/>
        <w:ind w:left="720" w:hanging="0"/>
        <w:jc w:val="both"/>
        <w:rPr>
          <w:rFonts w:eastAsia="Lucida Sans Unicode"/>
          <w:color w:val="000000"/>
          <w:kern w:val="2"/>
          <w:sz w:val="21"/>
          <w:szCs w:val="21"/>
          <w:lang w:bidi="ar-SA"/>
        </w:rPr>
      </w:pPr>
      <w:r>
        <w:rPr>
          <w:rFonts w:eastAsia="Lucida Sans Unicode"/>
          <w:color w:val="000000"/>
          <w:kern w:val="2"/>
          <w:sz w:val="21"/>
          <w:szCs w:val="21"/>
          <w:lang w:bidi="ar-SA"/>
        </w:rPr>
        <w:t>* Locais na área urbana e Rural do Município;</w:t>
      </w:r>
    </w:p>
    <w:p>
      <w:pPr>
        <w:pStyle w:val="Normal"/>
        <w:spacing w:lineRule="auto" w:line="360" w:before="142" w:after="142"/>
        <w:ind w:firstLine="720"/>
        <w:jc w:val="both"/>
        <w:rPr>
          <w:color w:val="000000"/>
          <w:sz w:val="21"/>
          <w:szCs w:val="21"/>
        </w:rPr>
      </w:pPr>
      <w:r>
        <w:rPr>
          <w:color w:val="000000"/>
          <w:sz w:val="21"/>
          <w:szCs w:val="21"/>
        </w:rPr>
        <w:t>As empresas adjudicatárias deverão atender os requisitos como seguem:</w:t>
      </w:r>
    </w:p>
    <w:p>
      <w:pPr>
        <w:pStyle w:val="Normal"/>
        <w:spacing w:lineRule="auto" w:line="360" w:before="142" w:after="142"/>
        <w:jc w:val="both"/>
        <w:rPr/>
      </w:pPr>
      <w:r>
        <w:rPr>
          <w:color w:val="000000"/>
        </w:rPr>
        <w:tab/>
      </w:r>
      <w:r>
        <w:rPr>
          <w:color w:val="000000"/>
          <w:sz w:val="21"/>
          <w:szCs w:val="21"/>
        </w:rPr>
        <w:t>Os materiais devem ser entregues por item com seus respectivos quantitativos na nota fiscal. Devendo conter no rótulo a data de validade, peso ou volume, composição, origem, dados do importador (caso seja importado) e instruções de uso. A data de validade dos produtos deve estar em conformidade com a legislação relativa ao tema.</w:t>
      </w:r>
    </w:p>
    <w:p>
      <w:pPr>
        <w:pStyle w:val="Normal"/>
        <w:spacing w:lineRule="auto" w:line="360" w:before="142" w:after="142"/>
        <w:jc w:val="both"/>
        <w:rPr/>
      </w:pPr>
      <w:r>
        <w:rPr>
          <w:color w:val="000000"/>
          <w:sz w:val="21"/>
          <w:szCs w:val="21"/>
        </w:rPr>
        <w:tab/>
        <w:t>Os produtos não podem apresentar embalagens violadas, ou seja, abertas, amassadas, enferrujadas, estufadas ou com vazamentos, bem como, deverão estar livres de umidade, poeira, calor intenso, ou qualquer outro fator que possam causar dano ou contaminação aos usuários.</w:t>
      </w:r>
    </w:p>
    <w:p>
      <w:pPr>
        <w:pStyle w:val="Normal"/>
        <w:spacing w:lineRule="auto" w:line="360" w:before="142" w:after="142"/>
        <w:jc w:val="both"/>
        <w:rPr/>
      </w:pPr>
      <w:r>
        <w:rPr>
          <w:rFonts w:eastAsia="Lucida Sans Unicode"/>
          <w:color w:val="000000"/>
          <w:kern w:val="2"/>
          <w:sz w:val="21"/>
          <w:szCs w:val="21"/>
          <w:lang w:bidi="ar-SA"/>
        </w:rPr>
        <w:tab/>
      </w:r>
      <w:r>
        <w:rPr>
          <w:rFonts w:eastAsia="Lucida Sans Unicode"/>
          <w:kern w:val="2"/>
          <w:sz w:val="21"/>
          <w:szCs w:val="21"/>
          <w:lang w:bidi="ar-SA"/>
        </w:rPr>
        <w:t>Todos os custos com o objeto, frete, deslocamento e pessoal, serão de responsabilidade exclusiva da licitante. É de responsabilidade da Contratada todas as despesas dos tributos, encargos trabalhistas, previdenciários, fiscais, comerciais, taxas, fretes, seguros, deslocamento de pessoal, prestação de garantia e quaisquer outras que incidam ou venham a incidir na entrega dos produtos. Caso haja necessidade, fica sob responsabilidade da Contratada os ônus com transporte, locomoção, alimentação, hospedagem, entre outros, de seus funcionários e veículos, para o fornecimento dos produtos.</w:t>
      </w:r>
    </w:p>
    <w:p>
      <w:pPr>
        <w:pStyle w:val="Normal"/>
        <w:spacing w:lineRule="auto" w:line="360" w:before="142" w:after="142"/>
        <w:jc w:val="both"/>
        <w:rPr/>
      </w:pPr>
      <w:r>
        <w:rPr>
          <w:rFonts w:eastAsia="Lucida Sans Unicode"/>
          <w:color w:val="000000"/>
          <w:kern w:val="2"/>
          <w:lang w:eastAsia="pt-BR" w:bidi="ar-SA"/>
        </w:rPr>
        <w:tab/>
      </w:r>
      <w:r>
        <w:rPr>
          <w:rFonts w:eastAsia="Lucida Sans Unicode"/>
          <w:color w:val="000000"/>
          <w:kern w:val="2"/>
          <w:sz w:val="21"/>
          <w:szCs w:val="21"/>
          <w:lang w:eastAsia="pt-BR" w:bidi="ar-SA"/>
        </w:rPr>
        <w:t>O Município de Lindóia do Sul não se responsabiliza por possíveis danos ocorridos durante o transporte.</w:t>
      </w:r>
    </w:p>
    <w:p>
      <w:pPr>
        <w:pStyle w:val="Normal"/>
        <w:spacing w:lineRule="auto" w:line="360" w:before="142" w:after="142"/>
        <w:jc w:val="both"/>
        <w:rPr/>
      </w:pPr>
      <w:r>
        <w:rPr>
          <w:color w:val="000000"/>
          <w:sz w:val="21"/>
          <w:szCs w:val="21"/>
        </w:rPr>
        <w:tab/>
        <w:t>A prefeitura determinará funcionário para conferência da mercadoria no ato de recebimento.</w:t>
      </w:r>
      <w:r>
        <w:rPr>
          <w:rFonts w:eastAsia="Lucida Sans Unicode"/>
          <w:color w:val="000000"/>
          <w:kern w:val="2"/>
          <w:sz w:val="21"/>
          <w:szCs w:val="21"/>
          <w:lang w:bidi="ar-SA"/>
        </w:rPr>
        <w:t xml:space="preserve"> O ato de recebimento não implica na aceitação do produto.</w:t>
      </w:r>
    </w:p>
    <w:p>
      <w:pPr>
        <w:pStyle w:val="Normal"/>
        <w:tabs>
          <w:tab w:val="clear" w:pos="708"/>
          <w:tab w:val="left" w:pos="142" w:leader="none"/>
        </w:tabs>
        <w:spacing w:lineRule="auto" w:line="360" w:before="142" w:after="142"/>
        <w:jc w:val="both"/>
        <w:rPr/>
      </w:pPr>
      <w:r>
        <w:rPr>
          <w:rFonts w:eastAsia="Times New Roman"/>
          <w:color w:val="000000"/>
          <w:lang w:eastAsia="pt-BR"/>
        </w:rPr>
        <w:tab/>
        <w:tab/>
      </w:r>
      <w:r>
        <w:rPr>
          <w:rFonts w:eastAsia="Times New Roman"/>
          <w:color w:val="000000"/>
          <w:sz w:val="21"/>
          <w:szCs w:val="21"/>
          <w:lang w:eastAsia="pt-BR"/>
        </w:rPr>
        <w:t xml:space="preserve">Caso o produto não corresponda ao exigido a futura contratada deverá providenciar, no prazo máximo de </w:t>
      </w:r>
      <w:r>
        <w:rPr>
          <w:rFonts w:eastAsia="Times New Roman"/>
          <w:b/>
          <w:color w:val="000000"/>
          <w:sz w:val="21"/>
          <w:szCs w:val="21"/>
          <w:lang w:eastAsia="pt-BR"/>
        </w:rPr>
        <w:t>2 (dois) dias corridos</w:t>
      </w:r>
      <w:r>
        <w:rPr>
          <w:rFonts w:eastAsia="Times New Roman"/>
          <w:color w:val="000000"/>
          <w:sz w:val="21"/>
          <w:szCs w:val="21"/>
          <w:lang w:eastAsia="pt-BR"/>
        </w:rPr>
        <w:t>, a sua substituição, visando o atendimento das especificações, sob pena de rescisão contratual e aplicação das sanções previstas.</w:t>
      </w:r>
    </w:p>
    <w:p>
      <w:pPr>
        <w:pStyle w:val="Normal"/>
        <w:tabs>
          <w:tab w:val="clear" w:pos="708"/>
          <w:tab w:val="left" w:pos="2340" w:leader="none"/>
          <w:tab w:val="left" w:pos="4464" w:leader="none"/>
        </w:tabs>
        <w:spacing w:lineRule="auto" w:line="360" w:before="140" w:after="140"/>
        <w:ind w:firstLine="709"/>
        <w:jc w:val="both"/>
        <w:rPr/>
      </w:pPr>
      <w:r>
        <w:rPr>
          <w:rFonts w:eastAsia="Lucida Sans Unicode"/>
          <w:color w:val="000000"/>
          <w:kern w:val="2"/>
          <w:sz w:val="21"/>
          <w:szCs w:val="21"/>
          <w:lang w:bidi="ar-SA"/>
        </w:rPr>
        <w:t xml:space="preserve">O município de Lindóia do Sul não se responsabiliza por possíveis danos ocorridos durante o transporte, sendo de responsabilidade da contratado </w:t>
      </w:r>
      <w:r>
        <w:rPr>
          <w:bCs/>
          <w:sz w:val="21"/>
          <w:szCs w:val="21"/>
        </w:rPr>
        <w:t>o transporte adequado e manter em perfeitas condições de armazenamento todos os itens a serem entregues, garantindo a sua total eficiência e qualidade.</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r>
    </w:p>
    <w:p>
      <w:pPr>
        <w:pStyle w:val="ListParagraph"/>
        <w:numPr>
          <w:ilvl w:val="0"/>
          <w:numId w:val="1"/>
        </w:numPr>
        <w:tabs>
          <w:tab w:val="clear" w:pos="708"/>
          <w:tab w:val="left" w:pos="0" w:leader="none"/>
        </w:tabs>
        <w:spacing w:lineRule="auto" w:line="360" w:before="140" w:after="140"/>
        <w:contextualSpacing/>
        <w:rPr>
          <w:b/>
          <w:b/>
          <w:sz w:val="21"/>
          <w:szCs w:val="21"/>
        </w:rPr>
      </w:pPr>
      <w:r>
        <w:rPr>
          <w:b/>
          <w:sz w:val="21"/>
          <w:szCs w:val="21"/>
        </w:rPr>
        <w:t>MODELO DE GESTÃO DO CONTRATO</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0"/>
          <w:numId w:val="1"/>
        </w:numPr>
        <w:tabs>
          <w:tab w:val="clear" w:pos="708"/>
          <w:tab w:val="left" w:pos="0" w:leader="none"/>
        </w:tabs>
        <w:spacing w:lineRule="auto" w:line="360" w:before="140" w:after="140"/>
        <w:contextualSpacing/>
        <w:rPr>
          <w:b/>
          <w:b/>
        </w:rPr>
      </w:pPr>
      <w:r>
        <w:rPr>
          <w:b/>
        </w:rPr>
        <w:t>CRITÉRIOS DE MEDIÇÃO E PAGAMENTO</w:t>
      </w:r>
    </w:p>
    <w:p>
      <w:pPr>
        <w:pStyle w:val="ListParagraph"/>
        <w:numPr>
          <w:ilvl w:val="1"/>
          <w:numId w:val="1"/>
        </w:numPr>
        <w:tabs>
          <w:tab w:val="clear" w:pos="708"/>
          <w:tab w:val="left" w:pos="0" w:leader="none"/>
        </w:tabs>
        <w:spacing w:lineRule="auto" w:line="360" w:before="140" w:after="140"/>
        <w:contextualSpacing/>
        <w:rPr>
          <w:b/>
          <w:b/>
        </w:rPr>
      </w:pPr>
      <w:r>
        <w:rPr>
          <w:b/>
        </w:rPr>
        <w:t>CRITÉRIOS DE MEDIÇÃO</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Imediatamente após a entrega do gás de cozinha, a carga será devidamente inspecionada pelo Setor Responsável. Caso seja constatada qualquer irregularidade ou incompatibilidade em relação à proposta comercial da contratada, ou às condições expressas neste Termo de Referência. A verificação poderá resultar na lavratura do termo de recebimento definitivo ou na notificação à licitante vencedora, caso seja identificada execução em desacordo com as normas do edital.</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Os serviços que não estiverem em conformidade com as especificações contratuais deverão ser refeitos pela licitante vencedora, sem qualquer ônus à Contratante, no prazo máximo de 02 (dois) dias, contados a partir da comunicação do fato, sob pena de aplicação das sanções previstas neste Edital.</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Em caso de controvérsia sobre a execução do objeto, deverá ser observado o disposto no art. 143 da Lei nº 14.133/2021, e a empresa será comunicada para emissão de Nota Fiscal referente à parcela incontroversa da execução, a fim de possibilitar a liquidação e o pagamento.</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O recebimento provisório ou definitivo não excluirá a responsabilidade civil da contratada pela qualidade do produto e pela segurança do serviço, nem a responsabilidade ético-profissional pela perfeita execução do contrato.</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 xml:space="preserve">Os processos de recebimento provisório e definitivo ficarão a cargo do órgão participante, conforme estabelecido no art. 140 da Lei nº 14.133/2021. O objeto do contrato será inicialmente recebido de forma sumária pelo responsável pelo acompanhamento e fiscalização do contrato no órgão participante, com posterior verificação da conformidade do gás de cozinha entregue com as exigências contratuais. O recebimento definitivo será realizado por servidor ou comissão designada pela autoridade competente do órgão participante. </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O objeto do contrato poderá ser rejeitado, no todo ou em parte, caso o gás de cozinha entregue esteja em desacordo com as disposições do contrato, do Edital, do Termo de Referência e das especificações do item.</w:t>
      </w:r>
    </w:p>
    <w:p>
      <w:pPr>
        <w:pStyle w:val="Normal"/>
        <w:tabs>
          <w:tab w:val="clear" w:pos="708"/>
          <w:tab w:val="left" w:pos="2340" w:leader="none"/>
          <w:tab w:val="left" w:pos="4464" w:leader="none"/>
        </w:tabs>
        <w:spacing w:lineRule="auto" w:line="360" w:before="142" w:after="142"/>
        <w:ind w:firstLine="709"/>
        <w:jc w:val="both"/>
        <w:rPr>
          <w:sz w:val="21"/>
          <w:szCs w:val="21"/>
        </w:rPr>
      </w:pPr>
      <w:r>
        <w:rPr>
          <w:sz w:val="21"/>
          <w:szCs w:val="21"/>
        </w:rPr>
        <w:t>Caso o produto entregue não corresponda às especificações exigidas, a contratada deverá providenciar a substituição da carga de gás no prazo máximo de 02 (dois) dias corridos, de modo a atender as especificações estabelecidas, sob pena de rescisão contratual e aplicação das sanções previstas neste Edital.</w:t>
      </w:r>
    </w:p>
    <w:p>
      <w:pPr>
        <w:pStyle w:val="ListParagraph"/>
        <w:numPr>
          <w:ilvl w:val="1"/>
          <w:numId w:val="1"/>
        </w:numPr>
        <w:tabs>
          <w:tab w:val="clear" w:pos="708"/>
          <w:tab w:val="left" w:pos="0" w:leader="none"/>
        </w:tabs>
        <w:spacing w:lineRule="auto" w:line="360" w:before="140" w:after="140"/>
        <w:contextualSpacing/>
        <w:rPr>
          <w:b/>
          <w:b/>
        </w:rPr>
      </w:pPr>
      <w:r>
        <w:rPr>
          <w:b/>
        </w:rPr>
        <w:t>CRITÉRIOS DE PAGAMENTO</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O pagamento pelas aquisições, objeto da presente licitação, será feito pelo Órgão Participante em favor do licitante vencedor mediante boleto ou </w:t>
      </w:r>
      <w:r>
        <w:rPr>
          <w:sz w:val="21"/>
          <w:szCs w:val="21"/>
        </w:rPr>
        <w:t>transferência bancária (TED, DOC, depósito) em conta corrente de titularidade do fornecedor</w:t>
      </w:r>
      <w:r>
        <w:rPr>
          <w:bCs/>
          <w:sz w:val="21"/>
          <w:szCs w:val="21"/>
        </w:rPr>
        <w:t xml:space="preserve">.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O Órgão Participante efetuará o pagamento em até 30 (trinta) dias após a data de recebimento do objeto desta licitação acompanhado da respectiva Nota Fiscal Eletrônica e arquivo XML.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360" w:before="140" w:after="140"/>
        <w:ind w:firstLine="709"/>
        <w:jc w:val="both"/>
        <w:rPr>
          <w:bCs/>
          <w:sz w:val="21"/>
          <w:szCs w:val="21"/>
        </w:rPr>
      </w:pPr>
      <w:r>
        <w:rPr>
          <w:bCs/>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360" w:before="140" w:after="140"/>
        <w:ind w:firstLine="709"/>
        <w:jc w:val="both"/>
        <w:rPr/>
      </w:pPr>
      <w:r>
        <w:rPr>
          <w:bCs/>
          <w:sz w:val="21"/>
          <w:szCs w:val="21"/>
        </w:rPr>
        <w:t xml:space="preserve">Lindóia do Sul, </w:t>
      </w:r>
      <w:r>
        <w:rPr>
          <w:bCs/>
          <w:sz w:val="21"/>
          <w:szCs w:val="21"/>
          <w:lang w:val="pt-BR"/>
        </w:rPr>
        <w:t>10</w:t>
      </w:r>
      <w:r>
        <w:rPr>
          <w:bCs/>
          <w:sz w:val="21"/>
          <w:szCs w:val="21"/>
        </w:rPr>
        <w:t xml:space="preserve"> de </w:t>
      </w:r>
      <w:r>
        <w:rPr>
          <w:bCs/>
          <w:sz w:val="21"/>
          <w:szCs w:val="21"/>
          <w:lang w:val="pt-BR"/>
        </w:rPr>
        <w:t>dezem</w:t>
      </w:r>
      <w:r>
        <w:rPr>
          <w:bCs/>
          <w:sz w:val="21"/>
          <w:szCs w:val="21"/>
        </w:rPr>
        <w:t>bro de 2024.</w:t>
      </w:r>
    </w:p>
    <w:p>
      <w:pPr>
        <w:pStyle w:val="Normal"/>
        <w:spacing w:lineRule="auto" w:line="360" w:before="0" w:after="0"/>
        <w:ind w:firstLine="709"/>
        <w:contextualSpacing/>
        <w:jc w:val="both"/>
        <w:rPr>
          <w:bCs/>
          <w:sz w:val="21"/>
          <w:szCs w:val="21"/>
          <w:lang w:eastAsia="ar-SA"/>
        </w:rPr>
      </w:pPr>
      <w:r>
        <w:rPr>
          <w:bCs/>
          <w:sz w:val="21"/>
          <w:szCs w:val="21"/>
          <w:lang w:eastAsia="ar-SA"/>
        </w:rPr>
      </w:r>
    </w:p>
    <w:p>
      <w:pPr>
        <w:pStyle w:val="Normal"/>
        <w:spacing w:lineRule="auto" w:line="360" w:before="0" w:after="0"/>
        <w:ind w:firstLine="709"/>
        <w:contextualSpacing/>
        <w:jc w:val="both"/>
        <w:rPr>
          <w:bCs/>
          <w:lang w:eastAsia="ar-SA"/>
        </w:rPr>
      </w:pPr>
      <w:r>
        <w:rPr>
          <w:bCs/>
          <w:lang w:eastAsia="ar-SA"/>
        </w:rPr>
      </w:r>
    </w:p>
    <w:p>
      <w:pPr>
        <w:pStyle w:val="Normal"/>
        <w:spacing w:before="0" w:after="0"/>
        <w:contextualSpacing/>
        <w:jc w:val="center"/>
        <w:rPr>
          <w:b/>
          <w:b/>
          <w:bCs w:val="false"/>
          <w:sz w:val="22"/>
          <w:szCs w:val="22"/>
          <w:lang w:eastAsia="ar-SA"/>
        </w:rPr>
      </w:pPr>
      <w:r>
        <w:rPr>
          <w:b/>
          <w:bCs w:val="false"/>
          <w:sz w:val="22"/>
          <w:szCs w:val="22"/>
          <w:lang w:eastAsia="ar-SA"/>
        </w:rPr>
        <w:t>Eliandra Salete Moretto</w:t>
      </w:r>
    </w:p>
    <w:p>
      <w:pPr>
        <w:pStyle w:val="Textopadro"/>
        <w:spacing w:lineRule="auto" w:line="276" w:before="0" w:after="0"/>
        <w:ind w:right="-39" w:hanging="0"/>
        <w:contextualSpacing/>
        <w:jc w:val="center"/>
        <w:rPr>
          <w:rFonts w:ascii="Arial" w:hAnsi="Arial" w:cs="Arial"/>
          <w:b/>
          <w:b/>
          <w:bCs w:val="false"/>
          <w:sz w:val="22"/>
          <w:szCs w:val="22"/>
          <w:lang w:val="pt-BR"/>
        </w:rPr>
      </w:pPr>
      <w:r>
        <w:rPr>
          <w:rFonts w:cs="Arial" w:ascii="Arial" w:hAnsi="Arial"/>
          <w:b/>
          <w:bCs w:val="false"/>
          <w:sz w:val="22"/>
          <w:szCs w:val="22"/>
          <w:lang w:val="pt-BR"/>
        </w:rPr>
        <w:t>Assistente Administrativo</w:t>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
        <w:tabs>
          <w:tab w:val="clear" w:pos="708"/>
          <w:tab w:val="left" w:pos="2340" w:leader="none"/>
          <w:tab w:val="left" w:pos="4464" w:leader="none"/>
        </w:tabs>
        <w:spacing w:lineRule="auto" w:line="360"/>
        <w:jc w:val="center"/>
        <w:rPr>
          <w:b/>
          <w:b/>
          <w:bCs/>
        </w:rPr>
      </w:pPr>
      <w:r>
        <w:rPr>
          <w:b/>
          <w:bCs/>
        </w:rPr>
      </w:r>
    </w:p>
    <w:p>
      <w:pPr>
        <w:pStyle w:val="Normal1"/>
        <w:spacing w:lineRule="auto" w:line="240" w:before="0" w:after="0"/>
        <w:ind w:left="0" w:right="0" w:hanging="0"/>
        <w:jc w:val="center"/>
        <w:rPr>
          <w:rFonts w:ascii="Arial" w:hAnsi="Arial"/>
        </w:rPr>
      </w:pPr>
      <w:r>
        <w:rPr>
          <w:rFonts w:ascii="Arial" w:hAnsi="Arial"/>
        </w:rPr>
      </w:r>
    </w:p>
    <w:p>
      <w:pPr>
        <w:pStyle w:val="Normal1"/>
        <w:spacing w:lineRule="auto" w:line="240" w:before="0" w:after="0"/>
        <w:ind w:left="0" w:right="0" w:hanging="0"/>
        <w:jc w:val="center"/>
        <w:rPr>
          <w:rFonts w:ascii="Arial" w:hAnsi="Arial"/>
        </w:rPr>
      </w:pPr>
      <w:r>
        <w:rPr>
          <w:rFonts w:ascii="Arial" w:hAnsi="Arial"/>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22/2024</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60 (sessenta) dias da assinatura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na forma Eletrônica – Edital nº 22/2024,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128/2024</w:t>
      </w:r>
    </w:p>
    <w:p>
      <w:pPr>
        <w:pStyle w:val="Ttulo2"/>
        <w:widowControl/>
        <w:suppressAutoHyphens w:val="true"/>
        <w:bidi w:val="0"/>
        <w:spacing w:lineRule="auto" w:line="300" w:before="0" w:after="0"/>
        <w:ind w:left="0" w:right="0" w:hanging="0"/>
        <w:jc w:val="both"/>
        <w:rPr/>
      </w:pPr>
      <w:r>
        <w:rPr>
          <w:rFonts w:ascii="Arial" w:hAnsi="Arial"/>
          <w:b/>
          <w:bCs/>
          <w:i w:val="false"/>
          <w:iCs w:val="false"/>
          <w:strike w:val="false"/>
          <w:dstrike w:val="false"/>
          <w:color w:val="000000"/>
          <w:sz w:val="21"/>
          <w:szCs w:val="21"/>
          <w:u w:val="none"/>
        </w:rPr>
        <w:t>EDITAL DE PREGÃO ELETRÔNICO Nº 22/2024</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MINUTA ATA DE REGISTRO DE PREÇOS Nº __/2024</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 </w:t>
      </w:r>
      <w:r>
        <w:rPr>
          <w:rFonts w:cs="Arial" w:ascii="Arial" w:hAnsi="Arial"/>
          <w:b/>
          <w:bCs/>
          <w:kern w:val="2"/>
          <w:sz w:val="21"/>
          <w:szCs w:val="21"/>
          <w:lang w:eastAsia="zxx"/>
        </w:rPr>
        <w:t>Flavio Luiz Benini</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22/2024, Ata de julgamento de Preços e homologada pela autoridade competente, RESOLVEM registrar os preços para aquisição de gás de cozinha (GLP) nas versões de 13KG e 45 KG, para atendimento das necessidades dos órgãos participantes desta licitação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1.1. A presente Ata tem por objeto o REGISTRO DE PREÇOS para  aquisição de gás de cozinha (GLP) nas versões de 13KG  e 45KG de acordo com os quantitativos estimados e durante o prazo de vigência da Ata de Registro de Preços.</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highlight w:val="none"/>
          <w:shd w:fill="auto" w:val="clear"/>
          <w:lang w:eastAsia="zxx"/>
        </w:rPr>
      </w:pPr>
      <w:r>
        <w:rPr>
          <w:rFonts w:cs="Arial" w:ascii="Arial" w:hAnsi="Arial"/>
          <w:color w:val="000000"/>
          <w:sz w:val="21"/>
          <w:szCs w:val="21"/>
          <w:shd w:fill="auto" w:val="clear"/>
          <w:lang w:eastAsia="zxx"/>
        </w:rPr>
      </w:r>
    </w:p>
    <w:p>
      <w:pPr>
        <w:pStyle w:val="Normal"/>
        <w:spacing w:lineRule="auto" w:line="276" w:before="0" w:after="0"/>
        <w:ind w:left="0" w:right="0" w:hanging="0"/>
        <w:jc w:val="both"/>
        <w:rPr>
          <w:highlight w:val="none"/>
          <w:shd w:fill="auto" w:val="clear"/>
        </w:rPr>
      </w:pPr>
      <w:r>
        <w:rPr>
          <w:rFonts w:cs="Arial" w:ascii="Arial" w:hAnsi="Arial"/>
          <w:b/>
          <w:color w:val="000000"/>
          <w:sz w:val="21"/>
          <w:szCs w:val="21"/>
          <w:shd w:fill="auto" w:val="clear"/>
        </w:rPr>
        <w:t>CLÁUSULA TERCEIRA -  DO PRAZO, FORMA DE RECEBIMENTO E LOCAL DE ENTREGA DO OBJETO</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276" w:before="0" w:after="0"/>
        <w:ind w:left="0" w:right="0" w:hanging="0"/>
        <w:jc w:val="both"/>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3.1.</w:t>
      </w:r>
      <w:r>
        <w:rPr>
          <w:rFonts w:ascii="Arial" w:hAnsi="Arial"/>
          <w:bCs/>
          <w:sz w:val="21"/>
          <w:szCs w:val="21"/>
        </w:rPr>
        <w:t>Os itens contratados deverão ser entregues no prazo máximo de 02 (dois)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Default"/>
        <w:spacing w:lineRule="auto" w:line="276" w:before="0" w:after="279"/>
        <w:ind w:left="0" w:hanging="0"/>
        <w:jc w:val="both"/>
        <w:rPr>
          <w:rFonts w:ascii="Arial" w:hAnsi="Arial"/>
          <w:sz w:val="21"/>
          <w:szCs w:val="21"/>
        </w:rPr>
      </w:pPr>
      <w:r>
        <w:rPr>
          <w:rFonts w:ascii="Arial" w:hAnsi="Arial"/>
          <w:b w:val="false"/>
          <w:sz w:val="21"/>
          <w:szCs w:val="21"/>
        </w:rPr>
        <w:t xml:space="preserve">3.1.1. A empresa deverá entregar </w:t>
      </w:r>
      <w:r>
        <w:rPr>
          <w:rFonts w:ascii="Arial" w:hAnsi="Arial"/>
          <w:b w:val="false"/>
          <w:color w:val="000000"/>
          <w:sz w:val="21"/>
          <w:szCs w:val="21"/>
        </w:rPr>
        <w:t>de segunda a sexta-feira, das 08:00h às 11:30h e das 13:30h às 17:00h, conforme a necessidade do Município,</w:t>
      </w:r>
      <w:r>
        <w:rPr>
          <w:rFonts w:ascii="Arial" w:hAnsi="Arial"/>
          <w:b w:val="false"/>
          <w:sz w:val="21"/>
          <w:szCs w:val="21"/>
        </w:rPr>
        <w:t xml:space="preserve"> o produto nos endereços informados na Solicitação de Fornecimento, </w:t>
      </w:r>
      <w:r>
        <w:rPr>
          <w:rFonts w:eastAsia="Lucida Sans Unicode" w:ascii="Arial" w:hAnsi="Arial"/>
          <w:b w:val="false"/>
          <w:color w:val="000000"/>
          <w:kern w:val="2"/>
          <w:sz w:val="21"/>
          <w:szCs w:val="21"/>
          <w:lang w:bidi="ar-SA"/>
        </w:rPr>
        <w:t xml:space="preserve">sem ônus para o Município, </w:t>
      </w:r>
      <w:r>
        <w:rPr>
          <w:rFonts w:ascii="Arial" w:hAnsi="Arial"/>
          <w:b w:val="false"/>
          <w:sz w:val="21"/>
          <w:szCs w:val="21"/>
        </w:rPr>
        <w:t>deixando devidamente instalado em seu local e apto para uso, conferido por funcionário e que não haja nenhum vazamento no produto.</w:t>
      </w:r>
    </w:p>
    <w:p>
      <w:pPr>
        <w:pStyle w:val="Default"/>
        <w:spacing w:lineRule="auto" w:line="276" w:before="0" w:after="0"/>
        <w:ind w:left="0" w:hanging="0"/>
        <w:jc w:val="both"/>
        <w:rPr>
          <w:rFonts w:ascii="Arial" w:hAnsi="Arial"/>
          <w:sz w:val="21"/>
          <w:szCs w:val="21"/>
        </w:rPr>
      </w:pPr>
      <w:r>
        <w:rPr>
          <w:rFonts w:ascii="Arial" w:hAnsi="Arial"/>
          <w:b w:val="false"/>
          <w:sz w:val="21"/>
          <w:szCs w:val="21"/>
        </w:rPr>
        <w:t xml:space="preserve">3.1.2 </w:t>
        <w:tab/>
        <w:t xml:space="preserve">A entrega do produto deve ser realizada por profissionais devidamente treinados, e identificados pela empresa contratada, </w:t>
      </w:r>
      <w:r>
        <w:rPr>
          <w:rFonts w:eastAsia="Lucida Sans Unicode" w:ascii="Arial" w:hAnsi="Arial"/>
          <w:b w:val="false"/>
          <w:color w:val="000000"/>
          <w:kern w:val="2"/>
          <w:sz w:val="21"/>
          <w:szCs w:val="21"/>
          <w:lang w:bidi="ar-SA"/>
        </w:rPr>
        <w:t>nos locais abaixo:</w:t>
      </w:r>
    </w:p>
    <w:p>
      <w:pPr>
        <w:pStyle w:val="Normal"/>
        <w:numPr>
          <w:ilvl w:val="0"/>
          <w:numId w:val="3"/>
        </w:numPr>
        <w:tabs>
          <w:tab w:val="clear" w:pos="708"/>
          <w:tab w:val="left" w:pos="720" w:leader="none"/>
        </w:tabs>
        <w:spacing w:before="142" w:after="142"/>
        <w:ind w:left="709" w:right="0" w:hanging="283"/>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 xml:space="preserve">Secretaria de Educação, Cultura e Turismo: Rua Tamandaré nº 98. </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Secretaria de Administração e Finanças: Rua Tamandaré nº 98.</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Secretaria de Saúde: Rua Tamandaré s/n (Frente a Prefeitura Municipal).</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Conselho Tutelar: Rua Sete de Setembro nº 275.</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Centro de Referência de Assistência Social: Rua XV de Novembro nº 320.</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Núcleo de Educação Ottaviano Nicolao: Rua da Amizade nº 369.</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Núcleo de Educação 15 de Novembro, Linha XV de Novembro, s/n, interior.</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 xml:space="preserve">Centro de Educação Infantil Roselene Fátima Bussolaro: Rua Sete de Setembro nº 436. </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Secretaria de Assistência Social: Rua 29 de Julho nº 407.</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 xml:space="preserve">Diretoria de Urbanismo: Rua 29 de Julho s/n. </w:t>
      </w:r>
    </w:p>
    <w:p>
      <w:pPr>
        <w:pStyle w:val="Normal"/>
        <w:numPr>
          <w:ilvl w:val="0"/>
          <w:numId w:val="3"/>
        </w:numPr>
        <w:tabs>
          <w:tab w:val="clear" w:pos="708"/>
          <w:tab w:val="left" w:pos="720" w:leader="none"/>
        </w:tabs>
        <w:spacing w:before="142" w:after="142"/>
        <w:ind w:left="720" w:right="0" w:hanging="360"/>
        <w:jc w:val="both"/>
        <w:rPr>
          <w:rFonts w:ascii="Arial" w:hAnsi="Arial" w:eastAsia="Lucida Sans Unicode"/>
          <w:color w:val="000000"/>
          <w:kern w:val="2"/>
          <w:sz w:val="21"/>
          <w:szCs w:val="21"/>
          <w:lang w:bidi="ar-SA"/>
        </w:rPr>
      </w:pPr>
      <w:r>
        <w:rPr>
          <w:rFonts w:eastAsia="Lucida Sans Unicode" w:ascii="Arial" w:hAnsi="Arial"/>
          <w:color w:val="000000"/>
          <w:kern w:val="2"/>
          <w:sz w:val="21"/>
          <w:szCs w:val="21"/>
          <w:lang w:bidi="ar-SA"/>
        </w:rPr>
        <w:t xml:space="preserve">Secretaria de Infraestrutura e Transportes: Lageado Acídio, S/N, interior. </w:t>
      </w:r>
    </w:p>
    <w:p>
      <w:pPr>
        <w:pStyle w:val="Default"/>
        <w:spacing w:lineRule="auto" w:line="276" w:before="0" w:after="0"/>
        <w:ind w:left="0" w:hanging="0"/>
        <w:jc w:val="both"/>
        <w:rPr>
          <w:rFonts w:ascii="Arial" w:hAnsi="Arial" w:eastAsia="Lucida Sans Unicode"/>
          <w:color w:val="000000"/>
          <w:kern w:val="2"/>
          <w:sz w:val="21"/>
          <w:szCs w:val="21"/>
          <w:lang w:bidi="ar-SA"/>
        </w:rPr>
      </w:pPr>
      <w:r>
        <w:rPr>
          <w:rFonts w:eastAsia="Lucida Sans Unicode" w:ascii="Arial" w:hAnsi="Arial"/>
          <w:b w:val="false"/>
          <w:color w:val="000000"/>
          <w:kern w:val="2"/>
          <w:sz w:val="21"/>
          <w:szCs w:val="21"/>
          <w:lang w:bidi="ar-SA"/>
        </w:rPr>
        <w:t>* Locais na área urbana e Rural do Município;</w:t>
      </w:r>
    </w:p>
    <w:p>
      <w:pPr>
        <w:pStyle w:val="Default"/>
        <w:spacing w:lineRule="auto" w:line="276" w:before="0" w:after="0"/>
        <w:ind w:left="0" w:hanging="0"/>
        <w:jc w:val="both"/>
        <w:rPr>
          <w:rFonts w:ascii="Arial" w:hAnsi="Arial"/>
          <w:sz w:val="21"/>
          <w:szCs w:val="21"/>
        </w:rPr>
      </w:pPr>
      <w:r>
        <w:rPr>
          <w:rFonts w:ascii="Arial" w:hAnsi="Arial"/>
          <w:sz w:val="21"/>
          <w:szCs w:val="21"/>
        </w:rPr>
      </w:r>
    </w:p>
    <w:p>
      <w:pPr>
        <w:pStyle w:val="Default"/>
        <w:spacing w:before="0" w:after="284"/>
        <w:ind w:left="0" w:hanging="0"/>
        <w:jc w:val="both"/>
        <w:rPr>
          <w:rFonts w:ascii="Arial" w:hAnsi="Arial"/>
          <w:sz w:val="21"/>
          <w:szCs w:val="21"/>
        </w:rPr>
      </w:pPr>
      <w:r>
        <w:rPr>
          <w:rFonts w:ascii="Arial" w:hAnsi="Arial"/>
          <w:sz w:val="21"/>
          <w:szCs w:val="21"/>
        </w:rPr>
        <w:t xml:space="preserve">3.1.3 </w:t>
      </w:r>
      <w:r>
        <w:rPr>
          <w:rFonts w:ascii="Arial" w:hAnsi="Arial"/>
          <w:color w:val="000000"/>
          <w:sz w:val="21"/>
          <w:szCs w:val="21"/>
        </w:rPr>
        <w:t>As empresas adjudicatárias deverão atender os requisitos como seguem:</w:t>
      </w:r>
    </w:p>
    <w:p>
      <w:pPr>
        <w:pStyle w:val="Normal"/>
        <w:spacing w:lineRule="auto" w:line="360" w:before="142" w:after="142"/>
        <w:jc w:val="both"/>
        <w:rPr>
          <w:rFonts w:ascii="Arial" w:hAnsi="Arial"/>
          <w:color w:val="000000"/>
          <w:sz w:val="21"/>
          <w:szCs w:val="21"/>
        </w:rPr>
      </w:pPr>
      <w:r>
        <w:rPr>
          <w:rFonts w:ascii="Arial" w:hAnsi="Arial"/>
          <w:color w:val="000000"/>
          <w:sz w:val="21"/>
          <w:szCs w:val="21"/>
        </w:rPr>
        <w:tab/>
        <w:t>3.1.3.1 Os materiais devem ser entregues por item com seus respectivos quantitativos na nota fiscal. Devendo conter no rótulo a data de validade, peso ou volume, composição, origem, dados do importador (caso seja importado) e instruções de uso. A data de validade dos produtos deve estar em conformidade com a legislação relativa ao tema.</w:t>
      </w:r>
    </w:p>
    <w:p>
      <w:pPr>
        <w:pStyle w:val="Normal"/>
        <w:spacing w:lineRule="auto" w:line="360" w:before="142" w:after="142"/>
        <w:jc w:val="both"/>
        <w:rPr>
          <w:rFonts w:ascii="Arial" w:hAnsi="Arial"/>
          <w:color w:val="000000"/>
          <w:sz w:val="21"/>
          <w:szCs w:val="21"/>
        </w:rPr>
      </w:pPr>
      <w:r>
        <w:rPr>
          <w:rFonts w:ascii="Arial" w:hAnsi="Arial"/>
          <w:color w:val="000000"/>
          <w:sz w:val="21"/>
          <w:szCs w:val="21"/>
        </w:rPr>
        <w:tab/>
        <w:t>3.1.3.2 Os produtos não podem apresentar embalagens violadas, ou seja, abertas, amassadas, enferrujadas, estufadas ou com vazamentos, bem como, deverão estar livres de umidade, poeira, calor intenso, ou qualquer outro fator que possam causar dano ou contaminação aos usuários.</w:t>
      </w:r>
    </w:p>
    <w:p>
      <w:pPr>
        <w:pStyle w:val="Normal"/>
        <w:spacing w:lineRule="auto" w:line="360" w:before="142" w:after="142"/>
        <w:jc w:val="both"/>
        <w:rPr>
          <w:rFonts w:ascii="Arial" w:hAnsi="Arial"/>
          <w:sz w:val="21"/>
          <w:szCs w:val="21"/>
        </w:rPr>
      </w:pPr>
      <w:r>
        <w:rPr>
          <w:rFonts w:eastAsia="Lucida Sans Unicode" w:ascii="Arial" w:hAnsi="Arial"/>
          <w:color w:val="000000"/>
          <w:kern w:val="2"/>
          <w:sz w:val="21"/>
          <w:szCs w:val="21"/>
          <w:lang w:bidi="ar-SA"/>
        </w:rPr>
        <w:tab/>
        <w:t xml:space="preserve">3.1.4 </w:t>
      </w:r>
      <w:r>
        <w:rPr>
          <w:rFonts w:eastAsia="Lucida Sans Unicode" w:ascii="Arial" w:hAnsi="Arial"/>
          <w:kern w:val="2"/>
          <w:sz w:val="21"/>
          <w:szCs w:val="21"/>
          <w:lang w:bidi="ar-SA"/>
        </w:rPr>
        <w:t>Todos os custos com o objeto, frete, deslocamento e pessoal, serão de responsabilidade exclusiva da licitante. É de responsabilidade da Contratada todas as despesas dos tributos, encargos trabalhistas, previdenciários, fiscais, comerciais, taxas, fretes, seguros, deslocamento de pessoal, prestação de garantia e quaisquer outras que incidam ou venham a incidir na entrega dos produtos. Caso haja necessidade, fica sob responsabilidade da Contratada os ônus com transporte, locomoção, alimentação, hospedagem, entre outros, de seus funcionários e veículos, para o fornecimento dos produtos.</w:t>
      </w:r>
    </w:p>
    <w:p>
      <w:pPr>
        <w:pStyle w:val="Normal"/>
        <w:spacing w:lineRule="auto" w:line="360" w:before="142" w:after="142"/>
        <w:jc w:val="both"/>
        <w:rPr>
          <w:rFonts w:ascii="Arial" w:hAnsi="Arial"/>
          <w:sz w:val="21"/>
          <w:szCs w:val="21"/>
        </w:rPr>
      </w:pPr>
      <w:r>
        <w:rPr>
          <w:rFonts w:ascii="Arial" w:hAnsi="Arial"/>
          <w:color w:val="000000"/>
          <w:sz w:val="21"/>
          <w:szCs w:val="21"/>
        </w:rPr>
        <w:tab/>
        <w:t>3.1.5 A prefeitura determinará funcionário para conferência da mercadoria no ato de recebimento.</w:t>
      </w:r>
      <w:r>
        <w:rPr>
          <w:rFonts w:eastAsia="Lucida Sans Unicode" w:ascii="Arial" w:hAnsi="Arial"/>
          <w:color w:val="000000"/>
          <w:kern w:val="2"/>
          <w:sz w:val="21"/>
          <w:szCs w:val="21"/>
          <w:lang w:bidi="ar-SA"/>
        </w:rPr>
        <w:t xml:space="preserve"> O ato de recebimento não implica na aceitação do produto.</w:t>
      </w:r>
    </w:p>
    <w:p>
      <w:pPr>
        <w:pStyle w:val="Normal"/>
        <w:tabs>
          <w:tab w:val="clear" w:pos="708"/>
          <w:tab w:val="left" w:pos="142" w:leader="none"/>
        </w:tabs>
        <w:spacing w:lineRule="auto" w:line="360" w:before="142" w:after="142"/>
        <w:jc w:val="both"/>
        <w:rPr>
          <w:rFonts w:ascii="Arial" w:hAnsi="Arial"/>
          <w:sz w:val="21"/>
          <w:szCs w:val="21"/>
        </w:rPr>
      </w:pPr>
      <w:r>
        <w:rPr>
          <w:rFonts w:eastAsia="Times New Roman" w:ascii="Arial" w:hAnsi="Arial"/>
          <w:color w:val="000000"/>
          <w:sz w:val="21"/>
          <w:szCs w:val="21"/>
          <w:lang w:eastAsia="pt-BR"/>
        </w:rPr>
        <w:tab/>
        <w:tab/>
        <w:t xml:space="preserve">3.1.6 Caso o produto não corresponda ao exigido a futura contratada deverá providenciar, no prazo máximo de </w:t>
      </w:r>
      <w:r>
        <w:rPr>
          <w:rFonts w:eastAsia="Times New Roman" w:ascii="Arial" w:hAnsi="Arial"/>
          <w:b/>
          <w:color w:val="000000"/>
          <w:sz w:val="21"/>
          <w:szCs w:val="21"/>
          <w:lang w:eastAsia="pt-BR"/>
        </w:rPr>
        <w:t>2 (dois) dias corridos</w:t>
      </w:r>
      <w:r>
        <w:rPr>
          <w:rFonts w:eastAsia="Times New Roman" w:ascii="Arial" w:hAnsi="Arial"/>
          <w:color w:val="000000"/>
          <w:sz w:val="21"/>
          <w:szCs w:val="21"/>
          <w:lang w:eastAsia="pt-BR"/>
        </w:rPr>
        <w:t>, a sua substituição, visando o atendimento das especificações, sob pena de rescisão contratual e aplicação das sanções previstas.</w:t>
      </w:r>
    </w:p>
    <w:p>
      <w:pPr>
        <w:pStyle w:val="Normal"/>
        <w:tabs>
          <w:tab w:val="clear" w:pos="708"/>
          <w:tab w:val="left" w:pos="2340" w:leader="none"/>
          <w:tab w:val="left" w:pos="4464" w:leader="none"/>
        </w:tabs>
        <w:spacing w:lineRule="auto" w:line="360" w:before="140" w:after="140"/>
        <w:ind w:left="0" w:right="0" w:firstLine="709"/>
        <w:jc w:val="both"/>
        <w:rPr>
          <w:rFonts w:ascii="Arial" w:hAnsi="Arial"/>
          <w:sz w:val="21"/>
          <w:szCs w:val="21"/>
        </w:rPr>
      </w:pPr>
      <w:r>
        <w:rPr>
          <w:rFonts w:eastAsia="Lucida Sans Unicode" w:ascii="Arial" w:hAnsi="Arial"/>
          <w:color w:val="000000"/>
          <w:kern w:val="2"/>
          <w:sz w:val="21"/>
          <w:szCs w:val="21"/>
          <w:lang w:bidi="ar-SA"/>
        </w:rPr>
        <w:t xml:space="preserve">3.1.7 O município de Lindóia do Sul não se responsabiliza por possíveis danos ocorridos durante o transporte, sendo de responsabilidade da contratado </w:t>
      </w:r>
      <w:r>
        <w:rPr>
          <w:rFonts w:ascii="Arial" w:hAnsi="Arial"/>
          <w:bCs/>
          <w:sz w:val="21"/>
          <w:szCs w:val="21"/>
        </w:rPr>
        <w:t>o transporte adequado e manter em perfeitas condições de armazenamento todos os itens a serem entregues, garantindo a sua total eficiência e qualidade.</w:t>
      </w:r>
    </w:p>
    <w:p>
      <w:pPr>
        <w:pStyle w:val="Default"/>
        <w:spacing w:before="0" w:after="284"/>
        <w:ind w:left="0" w:hanging="0"/>
        <w:jc w:val="both"/>
        <w:rPr>
          <w:rFonts w:ascii="Arial" w:hAnsi="Arial"/>
          <w:sz w:val="21"/>
          <w:szCs w:val="21"/>
        </w:rPr>
      </w:pPr>
      <w:r>
        <w:rPr>
          <w:rFonts w:ascii="Arial" w:hAnsi="Arial"/>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t>3.2. Todos os custos com o objeto, frete, deslocamento, serão de responsabilidade exclusiva da licitante, sob o qual ficará a total responsabilidade de realizar o transporte adequado e manter em perfeitas condições de armazenamento todos os itens a serem entregues, garantindo a sua total eficiência e qualidade.</w:t>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t xml:space="preserve">3.3. O ato de recebimento não implica a aceitação do produto; </w:t>
      </w:r>
    </w:p>
    <w:p>
      <w:pPr>
        <w:pStyle w:val="Normal"/>
        <w:numPr>
          <w:ilvl w:val="0"/>
          <w:numId w:val="8"/>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128/2024, Pregão Eletrônico nº 22/2024.</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2024.</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Flavio Luiz Benini</w:t>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9" w:name="_Hlk179178263"/>
      <w:bookmarkStart w:id="10" w:name="_Hlk1291563724"/>
      <w:bookmarkStart w:id="11" w:name="_Hlk1321905014"/>
      <w:bookmarkStart w:id="12" w:name="_Hlk1291608964"/>
      <w:bookmarkStart w:id="13" w:name="_Hlk129161118"/>
      <w:bookmarkStart w:id="14" w:name="_Hlk166661777"/>
      <w:bookmarkStart w:id="15" w:name="_Hlk1038461171"/>
      <w:bookmarkStart w:id="16" w:name="_Hlk103846117"/>
      <w:bookmarkStart w:id="17" w:name="_Hlk166662625"/>
      <w:bookmarkStart w:id="18" w:name="_Hlk166662798"/>
      <w:bookmarkStart w:id="19" w:name="_Hlk1038461172"/>
      <w:bookmarkStart w:id="20" w:name="_Hlk1291862591"/>
      <w:bookmarkStart w:id="21" w:name="_Hlk129186259"/>
      <w:bookmarkStart w:id="22" w:name="_Hlk129160896"/>
      <w:bookmarkStart w:id="23" w:name="_Hlk132190501"/>
      <w:bookmarkStart w:id="24" w:name="_Hlk129156372"/>
      <w:r>
        <w:rPr>
          <w:rFonts w:cs="Arial" w:ascii="Arial" w:hAnsi="Arial"/>
          <w:bCs/>
          <w:color w:val="000000"/>
          <w:kern w:val="2"/>
          <w:sz w:val="21"/>
          <w:szCs w:val="21"/>
          <w:lang w:eastAsia="zxx"/>
        </w:rPr>
        <w:t>CPF:</w:t>
        <w:tab/>
        <w:tab/>
        <w:tab/>
        <w:tab/>
        <w:tab/>
        <w:tab/>
        <w:tab/>
        <w:t>CPF:</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headerReference w:type="even" r:id="rId13"/>
      <w:headerReference w:type="default" r:id="rId14"/>
      <w:headerReference w:type="first" r:id="rId15"/>
      <w:footerReference w:type="even" r:id="rId16"/>
      <w:footerReference w:type="default" r:id="rId17"/>
      <w:footerReference w:type="first" r:id="rId18"/>
      <w:footnotePr>
        <w:numFmt w:val="decimal"/>
      </w:footnotePr>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Arial-BoldMT">
    <w:charset w:val="00"/>
    <w:family w:val="roman"/>
    <w:pitch w:val="variable"/>
  </w:font>
  <w:font w:name="ArialMT">
    <w:charset w:val="00"/>
    <w:family w:val="roman"/>
    <w:pitch w:val="variable"/>
  </w:font>
  <w:font w:name="SimSun">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tabs>
          <w:tab w:val="clear" w:pos="708"/>
          <w:tab w:val="left" w:pos="142" w:leader="none"/>
        </w:tabs>
        <w:spacing w:before="0" w:after="160"/>
        <w:ind w:left="0" w:right="0" w:hanging="0"/>
        <w:rPr/>
      </w:pPr>
      <w:r>
        <w:rPr>
          <w:rStyle w:val="Caracteresdenotaderodap"/>
        </w:rPr>
        <w:footnoteRef/>
      </w:r>
      <w:r>
        <w:rPr>
          <w:sz w:val="18"/>
          <w:szCs w:val="18"/>
        </w:rPr>
        <w:tab/>
        <w:t xml:space="preserve"> NIEBUHR, Joel de Menezes. </w:t>
      </w:r>
      <w:r>
        <w:rPr>
          <w:i/>
          <w:iCs/>
          <w:sz w:val="18"/>
          <w:szCs w:val="18"/>
        </w:rPr>
        <w:t>Licitação pública e contrato administrativo.</w:t>
      </w:r>
      <w:r>
        <w:rPr>
          <w:sz w:val="18"/>
          <w:szCs w:val="18"/>
        </w:rPr>
        <w:t xml:space="preserve"> 6. ed. Belo Horizonte: Fórum, 2023. p. 434.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76">
          <wp:simplePos x="0" y="0"/>
          <wp:positionH relativeFrom="column">
            <wp:posOffset>0</wp:posOffset>
          </wp:positionH>
          <wp:positionV relativeFrom="paragraph">
            <wp:posOffset>635</wp:posOffset>
          </wp:positionV>
          <wp:extent cx="635" cy="63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anchor behindDoc="1" distT="0" distB="0" distL="0" distR="0" simplePos="0" locked="0" layoutInCell="0" allowOverlap="1" relativeHeight="76">
          <wp:simplePos x="0" y="0"/>
          <wp:positionH relativeFrom="column">
            <wp:posOffset>0</wp:posOffset>
          </wp:positionH>
          <wp:positionV relativeFrom="paragraph">
            <wp:posOffset>635</wp:posOffset>
          </wp:positionV>
          <wp:extent cx="635" cy="635"/>
          <wp:effectExtent l="0" t="0" r="0" b="0"/>
          <wp:wrapSquare wrapText="bothSides"/>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635" cy="635"/>
                  </a:xfrm>
                  <a:prstGeom prst="rect">
                    <a:avLst/>
                  </a:prstGeom>
                </pic:spPr>
              </pic:pic>
            </a:graphicData>
          </a:graphic>
        </wp:anchor>
      </w:drawing>
      <w:drawing>
        <wp:inline distT="0" distB="0" distL="0" distR="0">
          <wp:extent cx="6678930" cy="113220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2"/>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qFormat/>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character" w:styleId="Refdenotaderodap1">
    <w:name w:val="Ref. de nota de rodapé1"/>
    <w:qFormat/>
    <w:rPr>
      <w:vertAlign w:val="superscript"/>
    </w:rPr>
  </w:style>
  <w:style w:type="character" w:styleId="WWCaracteresdenotaderodap">
    <w:name w:val="WW-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4"/>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7"/>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5"/>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6"/>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qFormat/>
    <w:pPr>
      <w:suppressLineNumbers/>
      <w:ind w:left="340" w:right="0" w:hanging="340"/>
    </w:pPr>
    <w:rPr>
      <w:sz w:val="20"/>
      <w:szCs w:val="20"/>
    </w:rPr>
  </w:style>
  <w:style w:type="paragraph" w:styleId="Normal1">
    <w:name w:val="Normal1"/>
    <w:qFormat/>
    <w:pPr>
      <w:widowControl w:val="false"/>
      <w:suppressAutoHyphens w:val="true"/>
      <w:bidi w:val="0"/>
      <w:spacing w:before="0" w:after="0"/>
      <w:jc w:val="left"/>
    </w:pPr>
    <w:rPr>
      <w:rFonts w:ascii="Liberation Serif;Times New Roma" w:hAnsi="Liberation Serif;Times New Roma" w:eastAsia="SimSun" w:cs="Mangal"/>
      <w:color w:val="00000A"/>
      <w:kern w:val="2"/>
      <w:sz w:val="22"/>
      <w:szCs w:val="22"/>
      <w:lang w:val="pt-BR" w:eastAsia="en-US" w:bidi="ar-SA"/>
    </w:rPr>
  </w:style>
  <w:style w:type="paragraph" w:styleId="Cabealho1">
    <w:name w:val="Cabeçalho1"/>
    <w:basedOn w:val="CabealhoeRodap"/>
    <w:qFormat/>
    <w:pPr>
      <w:widowControl w:val="false"/>
      <w:tabs>
        <w:tab w:val="clear" w:pos="708"/>
        <w:tab w:val="center" w:pos="5953" w:leader="none"/>
        <w:tab w:val="right" w:pos="11906" w:leader="none"/>
      </w:tabs>
      <w:suppressAutoHyphens w:val="true"/>
      <w:spacing w:lineRule="auto" w:line="276"/>
      <w:jc w:val="left"/>
    </w:pPr>
    <w:rPr>
      <w:rFonts w:ascii="Times New Roman" w:hAnsi="Times New Roman" w:eastAsia="Arial Unicode MS" w:cs="Tahoma"/>
      <w:color w:val="auto"/>
      <w:sz w:val="22"/>
      <w:szCs w:val="22"/>
      <w:lang w:val="ar-SA" w:eastAsia="zh-CN" w:bidi="ar-SA"/>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numbering" w:styleId="Semlista">
    <w:name w:val="Sem lista"/>
    <w:qFormat/>
  </w:style>
  <w:style w:type="numbering" w:styleId="WW8Num1">
    <w:name w:val="WW8Num1"/>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25542</TotalTime>
  <Application>LibreOffice/7.4.2.3$Windows_X86_64 LibreOffice_project/382eef1f22670f7f4118c8c2dd222ec7ad009daf</Application>
  <AppVersion>15.0000</AppVersion>
  <Pages>54</Pages>
  <Words>15604</Words>
  <Characters>87950</Characters>
  <CharactersWithSpaces>103140</CharactersWithSpaces>
  <Paragraphs>650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2024-11-12T16:54:00Z</dcterms:created>
  <dc:creator>EDULDS</dc:creator>
  <dc:description/>
  <dc:language>pt-BR</dc:language>
  <cp:lastModifiedBy/>
  <cp:lastPrinted>2024-10-25T15:08:16Z</cp:lastPrinted>
  <dcterms:modified xsi:type="dcterms:W3CDTF">2025-01-02T16:01:07Z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